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4A33C" w14:textId="6B7AAB4E" w:rsidR="00424EC4" w:rsidRDefault="00135A95" w:rsidP="00E47089">
      <w:pPr>
        <w:spacing w:after="0"/>
        <w:jc w:val="both"/>
        <w:rPr>
          <w:rFonts w:ascii="Bookman Old Style" w:hAnsi="Bookman Old Style"/>
          <w:b/>
          <w:sz w:val="18"/>
          <w:u w:val="single"/>
        </w:rPr>
      </w:pPr>
      <w:r>
        <w:rPr>
          <w:rFonts w:ascii="Bookman Old Style" w:hAnsi="Bookman Old Style"/>
          <w:b/>
          <w:noProof/>
          <w:sz w:val="18"/>
        </w:rPr>
        <w:drawing>
          <wp:anchor distT="0" distB="0" distL="114300" distR="114300" simplePos="0" relativeHeight="251658240" behindDoc="0" locked="0" layoutInCell="1" allowOverlap="1" wp14:anchorId="5C0ABC5B" wp14:editId="72B0DA29">
            <wp:simplePos x="0" y="0"/>
            <wp:positionH relativeFrom="column">
              <wp:posOffset>35560</wp:posOffset>
            </wp:positionH>
            <wp:positionV relativeFrom="paragraph">
              <wp:posOffset>-741904</wp:posOffset>
            </wp:positionV>
            <wp:extent cx="1290917" cy="641616"/>
            <wp:effectExtent l="0" t="0" r="5080" b="6350"/>
            <wp:wrapNone/>
            <wp:docPr id="1633403329"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403329" name="Imagen 1" descr="Diagram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0917" cy="641616"/>
                    </a:xfrm>
                    <a:prstGeom prst="rect">
                      <a:avLst/>
                    </a:prstGeom>
                    <a:noFill/>
                  </pic:spPr>
                </pic:pic>
              </a:graphicData>
            </a:graphic>
            <wp14:sizeRelH relativeFrom="margin">
              <wp14:pctWidth>0</wp14:pctWidth>
            </wp14:sizeRelH>
            <wp14:sizeRelV relativeFrom="margin">
              <wp14:pctHeight>0</wp14:pctHeight>
            </wp14:sizeRelV>
          </wp:anchor>
        </w:drawing>
      </w:r>
    </w:p>
    <w:p w14:paraId="3DB5D347" w14:textId="77777777" w:rsidR="00424EC4" w:rsidRDefault="00424EC4" w:rsidP="00E47089">
      <w:pPr>
        <w:spacing w:after="0"/>
        <w:jc w:val="both"/>
        <w:rPr>
          <w:rFonts w:ascii="Bookman Old Style" w:hAnsi="Bookman Old Style"/>
          <w:b/>
          <w:sz w:val="18"/>
          <w:u w:val="single"/>
        </w:rPr>
      </w:pPr>
    </w:p>
    <w:p w14:paraId="5D1F8626" w14:textId="33549E71" w:rsidR="00424EC4" w:rsidRPr="00424EC4" w:rsidRDefault="00424EC4" w:rsidP="00E47089">
      <w:pPr>
        <w:spacing w:after="0"/>
        <w:jc w:val="both"/>
        <w:rPr>
          <w:rFonts w:ascii="Bookman Old Style" w:hAnsi="Bookman Old Style"/>
          <w:b/>
          <w:sz w:val="18"/>
        </w:rPr>
      </w:pPr>
      <w:r w:rsidRPr="00424EC4">
        <w:rPr>
          <w:rFonts w:ascii="Bookman Old Style" w:hAnsi="Bookman Old Style"/>
          <w:b/>
          <w:sz w:val="18"/>
        </w:rPr>
        <w:t>C</w:t>
      </w:r>
      <w:r>
        <w:rPr>
          <w:rFonts w:ascii="Bookman Old Style" w:hAnsi="Bookman Old Style"/>
          <w:b/>
          <w:sz w:val="18"/>
        </w:rPr>
        <w:t>ourt rules, regulations, circular, or practice directive issued by the Supreme Court</w:t>
      </w:r>
      <w:r w:rsidR="008D61DE" w:rsidRPr="008D61DE">
        <w:rPr>
          <w:rFonts w:ascii="Bookman Old Style" w:hAnsi="Bookman Old Style"/>
          <w:b/>
          <w:color w:val="C00000"/>
          <w:sz w:val="18"/>
        </w:rPr>
        <w:t>*</w:t>
      </w:r>
      <w:r w:rsidRPr="008D61DE">
        <w:rPr>
          <w:rStyle w:val="Refdenotaalpie"/>
          <w:rFonts w:ascii="Bookman Old Style" w:hAnsi="Bookman Old Style"/>
          <w:b/>
          <w:color w:val="FFFFFF" w:themeColor="background1"/>
          <w:sz w:val="18"/>
        </w:rPr>
        <w:footnoteReference w:id="1"/>
      </w:r>
    </w:p>
    <w:p w14:paraId="0F1B41A7" w14:textId="77777777" w:rsidR="00424EC4" w:rsidRDefault="00424EC4" w:rsidP="00E47089">
      <w:pPr>
        <w:spacing w:after="0"/>
        <w:jc w:val="both"/>
        <w:rPr>
          <w:rFonts w:ascii="Bookman Old Style" w:hAnsi="Bookman Old Style"/>
          <w:b/>
          <w:sz w:val="18"/>
          <w:u w:val="single"/>
        </w:rPr>
      </w:pPr>
    </w:p>
    <w:p w14:paraId="0AE5C234" w14:textId="2E5F7184" w:rsidR="00424EC4" w:rsidRPr="00424EC4" w:rsidRDefault="00424EC4" w:rsidP="00E47089">
      <w:pPr>
        <w:spacing w:after="0"/>
        <w:jc w:val="both"/>
        <w:rPr>
          <w:rFonts w:ascii="Bookman Old Style" w:hAnsi="Bookman Old Style"/>
          <w:b/>
          <w:sz w:val="18"/>
        </w:rPr>
      </w:pPr>
      <w:r>
        <w:rPr>
          <w:rFonts w:ascii="Bookman Old Style" w:hAnsi="Bookman Old Style"/>
          <w:b/>
          <w:sz w:val="18"/>
        </w:rPr>
        <w:t>i</w:t>
      </w:r>
      <w:r w:rsidRPr="00424EC4">
        <w:rPr>
          <w:rFonts w:ascii="Bookman Old Style" w:hAnsi="Bookman Old Style"/>
          <w:b/>
          <w:sz w:val="18"/>
        </w:rPr>
        <w:t>mplementing</w:t>
      </w:r>
      <w:r>
        <w:rPr>
          <w:rFonts w:ascii="Bookman Old Style" w:hAnsi="Bookman Old Style"/>
          <w:b/>
          <w:sz w:val="18"/>
        </w:rPr>
        <w:t xml:space="preserve"> key procedural items required by the Convention on International Interests in Mobile Equipment and the Protocol thereto on matters specific to Aircraft Equipment</w:t>
      </w:r>
    </w:p>
    <w:p w14:paraId="6AFC6781" w14:textId="77777777" w:rsidR="00424EC4" w:rsidRDefault="00424EC4" w:rsidP="00E47089">
      <w:pPr>
        <w:spacing w:after="0"/>
        <w:jc w:val="both"/>
        <w:rPr>
          <w:rFonts w:ascii="Bookman Old Style" w:hAnsi="Bookman Old Style"/>
          <w:b/>
          <w:sz w:val="18"/>
          <w:u w:val="single"/>
        </w:rPr>
      </w:pPr>
    </w:p>
    <w:p w14:paraId="3F0A9CFB" w14:textId="08B48E0C" w:rsidR="00F607C9" w:rsidRDefault="00F607C9" w:rsidP="00F607C9">
      <w:pPr>
        <w:spacing w:after="0"/>
        <w:ind w:right="429"/>
        <w:jc w:val="center"/>
        <w:rPr>
          <w:rFonts w:ascii="Bookman Old Style" w:hAnsi="Bookman Old Style"/>
          <w:bCs/>
          <w:sz w:val="16"/>
          <w:szCs w:val="16"/>
        </w:rPr>
      </w:pPr>
      <w:r w:rsidRPr="00B92C4B">
        <w:rPr>
          <w:rFonts w:ascii="Bookman Old Style" w:hAnsi="Bookman Old Style"/>
          <w:bCs/>
          <w:sz w:val="16"/>
          <w:szCs w:val="16"/>
        </w:rPr>
        <w:t>(</w:t>
      </w:r>
      <w:r>
        <w:rPr>
          <w:rFonts w:ascii="Bookman Old Style" w:hAnsi="Bookman Old Style"/>
          <w:bCs/>
          <w:sz w:val="16"/>
          <w:szCs w:val="16"/>
        </w:rPr>
        <w:t>released</w:t>
      </w:r>
      <w:r w:rsidRPr="00B92C4B">
        <w:rPr>
          <w:rFonts w:ascii="Bookman Old Style" w:hAnsi="Bookman Old Style"/>
          <w:bCs/>
          <w:sz w:val="16"/>
          <w:szCs w:val="16"/>
        </w:rPr>
        <w:t xml:space="preserve"> </w:t>
      </w:r>
      <w:r w:rsidR="00424EC4" w:rsidRPr="00B92C4B">
        <w:rPr>
          <w:rFonts w:ascii="Bookman Old Style" w:hAnsi="Bookman Old Style"/>
          <w:bCs/>
          <w:sz w:val="16"/>
          <w:szCs w:val="16"/>
        </w:rPr>
        <w:t>by the Aviation Working Group</w:t>
      </w:r>
      <w:r w:rsidR="00135A95" w:rsidRPr="00B92C4B">
        <w:rPr>
          <w:rFonts w:ascii="Bookman Old Style" w:hAnsi="Bookman Old Style"/>
          <w:bCs/>
          <w:sz w:val="16"/>
          <w:szCs w:val="16"/>
        </w:rPr>
        <w:t xml:space="preserve"> with the endorsement </w:t>
      </w:r>
    </w:p>
    <w:p w14:paraId="3A687EF2" w14:textId="6A52659B" w:rsidR="00424EC4" w:rsidRPr="00B92C4B" w:rsidRDefault="00135A95" w:rsidP="00B92C4B">
      <w:pPr>
        <w:spacing w:after="0"/>
        <w:ind w:right="429"/>
        <w:jc w:val="center"/>
        <w:rPr>
          <w:rFonts w:ascii="Bookman Old Style" w:hAnsi="Bookman Old Style"/>
          <w:bCs/>
          <w:sz w:val="16"/>
          <w:szCs w:val="16"/>
        </w:rPr>
      </w:pPr>
      <w:r w:rsidRPr="00B92C4B">
        <w:rPr>
          <w:rFonts w:ascii="Bookman Old Style" w:hAnsi="Bookman Old Style"/>
          <w:bCs/>
          <w:sz w:val="16"/>
          <w:szCs w:val="16"/>
        </w:rPr>
        <w:t>of the</w:t>
      </w:r>
      <w:r w:rsidR="00F607C9">
        <w:rPr>
          <w:rFonts w:ascii="Bookman Old Style" w:hAnsi="Bookman Old Style"/>
          <w:bCs/>
          <w:sz w:val="16"/>
          <w:szCs w:val="16"/>
        </w:rPr>
        <w:t xml:space="preserve"> </w:t>
      </w:r>
      <w:r w:rsidR="00F607C9" w:rsidRPr="00B92C4B">
        <w:rPr>
          <w:rFonts w:ascii="Bookman Old Style" w:hAnsi="Bookman Old Style"/>
          <w:bCs/>
          <w:sz w:val="16"/>
          <w:szCs w:val="16"/>
        </w:rPr>
        <w:t>e</w:t>
      </w:r>
      <w:r w:rsidRPr="00B92C4B">
        <w:rPr>
          <w:rFonts w:ascii="Bookman Old Style" w:hAnsi="Bookman Old Style"/>
          <w:bCs/>
          <w:sz w:val="16"/>
          <w:szCs w:val="16"/>
        </w:rPr>
        <w:t xml:space="preserve">xecutive </w:t>
      </w:r>
      <w:r w:rsidR="00F607C9" w:rsidRPr="00B92C4B">
        <w:rPr>
          <w:rFonts w:ascii="Bookman Old Style" w:hAnsi="Bookman Old Style"/>
          <w:bCs/>
          <w:sz w:val="16"/>
          <w:szCs w:val="16"/>
        </w:rPr>
        <w:t>c</w:t>
      </w:r>
      <w:r w:rsidRPr="00B92C4B">
        <w:rPr>
          <w:rFonts w:ascii="Bookman Old Style" w:hAnsi="Bookman Old Style"/>
          <w:bCs/>
          <w:sz w:val="16"/>
          <w:szCs w:val="16"/>
        </w:rPr>
        <w:t>ommittee of its legal advisory panel</w:t>
      </w:r>
      <w:r w:rsidR="00F607C9" w:rsidRPr="00B92C4B">
        <w:rPr>
          <w:rFonts w:ascii="Bookman Old Style" w:hAnsi="Bookman Old Style"/>
          <w:bCs/>
          <w:sz w:val="16"/>
          <w:szCs w:val="16"/>
        </w:rPr>
        <w:t>)</w:t>
      </w:r>
    </w:p>
    <w:p w14:paraId="4A406AB3" w14:textId="77777777" w:rsidR="00424EC4" w:rsidRDefault="00424EC4" w:rsidP="00E47089">
      <w:pPr>
        <w:spacing w:after="0"/>
        <w:jc w:val="both"/>
        <w:rPr>
          <w:rFonts w:ascii="Bookman Old Style" w:hAnsi="Bookman Old Style"/>
          <w:b/>
          <w:sz w:val="18"/>
          <w:u w:val="single"/>
        </w:rPr>
      </w:pPr>
    </w:p>
    <w:p w14:paraId="4AB5E62F" w14:textId="77777777" w:rsidR="00424EC4" w:rsidRDefault="00424EC4" w:rsidP="00E47089">
      <w:pPr>
        <w:spacing w:after="0"/>
        <w:jc w:val="both"/>
        <w:rPr>
          <w:rFonts w:ascii="Bookman Old Style" w:hAnsi="Bookman Old Style"/>
          <w:b/>
          <w:sz w:val="18"/>
          <w:u w:val="single"/>
        </w:rPr>
      </w:pPr>
    </w:p>
    <w:p w14:paraId="58BA41C8" w14:textId="1704E349" w:rsidR="00064AFB" w:rsidRDefault="007E39B1" w:rsidP="00E47089">
      <w:pPr>
        <w:spacing w:after="0"/>
        <w:jc w:val="both"/>
        <w:rPr>
          <w:rFonts w:ascii="Bookman Old Style" w:hAnsi="Bookman Old Style"/>
          <w:sz w:val="18"/>
        </w:rPr>
      </w:pPr>
      <w:r w:rsidRPr="00CE3E5E">
        <w:rPr>
          <w:rFonts w:ascii="Bookman Old Style" w:hAnsi="Bookman Old Style"/>
          <w:sz w:val="18"/>
        </w:rPr>
        <w:t xml:space="preserve">The following </w:t>
      </w:r>
      <w:r w:rsidR="00094B09">
        <w:rPr>
          <w:rFonts w:ascii="Bookman Old Style" w:hAnsi="Bookman Old Style"/>
          <w:sz w:val="18"/>
        </w:rPr>
        <w:t xml:space="preserve">is issued </w:t>
      </w:r>
      <w:r w:rsidR="007059A3">
        <w:rPr>
          <w:rFonts w:ascii="Bookman Old Style" w:hAnsi="Bookman Old Style"/>
          <w:sz w:val="18"/>
        </w:rPr>
        <w:t>by the</w:t>
      </w:r>
      <w:r w:rsidR="009A4573">
        <w:rPr>
          <w:rFonts w:ascii="Bookman Old Style" w:hAnsi="Bookman Old Style"/>
          <w:sz w:val="18"/>
        </w:rPr>
        <w:t xml:space="preserve"> </w:t>
      </w:r>
      <w:r w:rsidR="00424EC4">
        <w:rPr>
          <w:rFonts w:ascii="Bookman Old Style" w:hAnsi="Bookman Old Style"/>
          <w:sz w:val="18"/>
        </w:rPr>
        <w:t>[</w:t>
      </w:r>
      <w:r w:rsidR="009A4573">
        <w:rPr>
          <w:rFonts w:ascii="Bookman Old Style" w:hAnsi="Bookman Old Style"/>
          <w:sz w:val="18"/>
        </w:rPr>
        <w:t xml:space="preserve">Supreme </w:t>
      </w:r>
      <w:r w:rsidR="009A4573" w:rsidRPr="007059A3">
        <w:rPr>
          <w:rFonts w:ascii="Bookman Old Style" w:hAnsi="Bookman Old Style"/>
          <w:sz w:val="18"/>
        </w:rPr>
        <w:t>Court</w:t>
      </w:r>
      <w:r w:rsidR="007059A3" w:rsidRPr="007059A3">
        <w:rPr>
          <w:rFonts w:ascii="Bookman Old Style" w:hAnsi="Bookman Old Style"/>
          <w:sz w:val="18"/>
        </w:rPr>
        <w:t>] of [</w:t>
      </w:r>
      <w:r w:rsidR="007059A3" w:rsidRPr="007059A3">
        <w:rPr>
          <w:rFonts w:ascii="Bookman Old Style" w:hAnsi="Bookman Old Style"/>
          <w:color w:val="FFC000"/>
          <w:sz w:val="18"/>
        </w:rPr>
        <w:t>insert country</w:t>
      </w:r>
      <w:r w:rsidR="007059A3" w:rsidRPr="007059A3">
        <w:rPr>
          <w:rFonts w:ascii="Bookman Old Style" w:hAnsi="Bookman Old Style"/>
          <w:sz w:val="18"/>
        </w:rPr>
        <w:t xml:space="preserve">] as </w:t>
      </w:r>
      <w:r w:rsidR="00424EC4" w:rsidRPr="007059A3">
        <w:rPr>
          <w:rFonts w:ascii="Bookman Old Style" w:hAnsi="Bookman Old Style"/>
          <w:sz w:val="18"/>
        </w:rPr>
        <w:t>rules in the form of a [</w:t>
      </w:r>
      <w:r w:rsidR="00424EC4" w:rsidRPr="007059A3">
        <w:rPr>
          <w:rFonts w:ascii="Bookman Old Style" w:hAnsi="Bookman Old Style"/>
          <w:color w:val="FFC000"/>
          <w:sz w:val="18"/>
        </w:rPr>
        <w:t>r</w:t>
      </w:r>
      <w:r w:rsidR="009A4573" w:rsidRPr="007059A3">
        <w:rPr>
          <w:rFonts w:ascii="Bookman Old Style" w:hAnsi="Bookman Old Style"/>
          <w:color w:val="FFC000"/>
          <w:sz w:val="18"/>
        </w:rPr>
        <w:t>egulation</w:t>
      </w:r>
      <w:r w:rsidR="00424EC4" w:rsidRPr="007059A3">
        <w:rPr>
          <w:rFonts w:ascii="Bookman Old Style" w:hAnsi="Bookman Old Style"/>
          <w:color w:val="FFC000"/>
          <w:sz w:val="18"/>
        </w:rPr>
        <w:t>/circular/directive</w:t>
      </w:r>
      <w:r w:rsidR="00424EC4" w:rsidRPr="007059A3">
        <w:rPr>
          <w:rFonts w:ascii="Bookman Old Style" w:hAnsi="Bookman Old Style"/>
          <w:sz w:val="18"/>
        </w:rPr>
        <w:t>]</w:t>
      </w:r>
      <w:r w:rsidR="009A4573" w:rsidRPr="007059A3">
        <w:rPr>
          <w:rFonts w:ascii="Bookman Old Style" w:hAnsi="Bookman Old Style"/>
          <w:sz w:val="18"/>
        </w:rPr>
        <w:t xml:space="preserve"> (</w:t>
      </w:r>
      <w:r w:rsidR="00424EC4" w:rsidRPr="007059A3">
        <w:rPr>
          <w:rFonts w:ascii="Bookman Old Style" w:hAnsi="Bookman Old Style"/>
          <w:sz w:val="18"/>
        </w:rPr>
        <w:t xml:space="preserve">the </w:t>
      </w:r>
      <w:r w:rsidR="00424EC4" w:rsidRPr="007059A3">
        <w:rPr>
          <w:rFonts w:ascii="Bookman Old Style" w:hAnsi="Bookman Old Style"/>
          <w:i/>
          <w:iCs/>
          <w:sz w:val="18"/>
        </w:rPr>
        <w:t>court rules</w:t>
      </w:r>
      <w:r w:rsidR="009A4573" w:rsidRPr="007059A3">
        <w:rPr>
          <w:rFonts w:ascii="Bookman Old Style" w:hAnsi="Bookman Old Style"/>
          <w:sz w:val="18"/>
        </w:rPr>
        <w:t>)</w:t>
      </w:r>
      <w:r w:rsidR="00094B09" w:rsidRPr="007059A3">
        <w:rPr>
          <w:rFonts w:ascii="Bookman Old Style" w:hAnsi="Bookman Old Style"/>
          <w:sz w:val="18"/>
        </w:rPr>
        <w:t>, binding on all courts in all judicial</w:t>
      </w:r>
      <w:r w:rsidR="00094B09">
        <w:rPr>
          <w:rFonts w:ascii="Bookman Old Style" w:hAnsi="Bookman Old Style"/>
          <w:sz w:val="18"/>
        </w:rPr>
        <w:t xml:space="preserve"> proceedings</w:t>
      </w:r>
      <w:r w:rsidR="00064AFB">
        <w:rPr>
          <w:rFonts w:ascii="Bookman Old Style" w:hAnsi="Bookman Old Style"/>
          <w:sz w:val="18"/>
        </w:rPr>
        <w:t>, as described below</w:t>
      </w:r>
      <w:r w:rsidR="00094B09">
        <w:rPr>
          <w:rFonts w:ascii="Bookman Old Style" w:hAnsi="Bookman Old Style"/>
          <w:sz w:val="18"/>
        </w:rPr>
        <w:t xml:space="preserve">. It reflects and embodies treaty obligations undertaken by the </w:t>
      </w:r>
      <w:r w:rsidR="007059A3">
        <w:rPr>
          <w:rFonts w:ascii="Bookman Old Style" w:hAnsi="Bookman Old Style"/>
          <w:sz w:val="18"/>
        </w:rPr>
        <w:t>[</w:t>
      </w:r>
      <w:r w:rsidR="007059A3" w:rsidRPr="007059A3">
        <w:rPr>
          <w:rFonts w:ascii="Bookman Old Style" w:hAnsi="Bookman Old Style"/>
          <w:color w:val="FFC000"/>
          <w:sz w:val="18"/>
        </w:rPr>
        <w:t>insert country</w:t>
      </w:r>
      <w:r w:rsidR="007059A3">
        <w:rPr>
          <w:rFonts w:ascii="Bookman Old Style" w:hAnsi="Bookman Old Style"/>
          <w:sz w:val="18"/>
        </w:rPr>
        <w:t>]</w:t>
      </w:r>
      <w:r w:rsidR="00094B09">
        <w:rPr>
          <w:rFonts w:ascii="Bookman Old Style" w:hAnsi="Bookman Old Style"/>
          <w:sz w:val="18"/>
        </w:rPr>
        <w:t>, w</w:t>
      </w:r>
      <w:r w:rsidR="00064AFB">
        <w:rPr>
          <w:rFonts w:ascii="Bookman Old Style" w:hAnsi="Bookman Old Style"/>
          <w:sz w:val="18"/>
        </w:rPr>
        <w:t>h</w:t>
      </w:r>
      <w:r w:rsidR="00094B09">
        <w:rPr>
          <w:rFonts w:ascii="Bookman Old Style" w:hAnsi="Bookman Old Style"/>
          <w:sz w:val="18"/>
        </w:rPr>
        <w:t xml:space="preserve">ich have the force </w:t>
      </w:r>
      <w:r w:rsidR="00064AFB">
        <w:rPr>
          <w:rFonts w:ascii="Bookman Old Style" w:hAnsi="Bookman Old Style"/>
          <w:sz w:val="18"/>
        </w:rPr>
        <w:t xml:space="preserve">of law and have </w:t>
      </w:r>
      <w:r w:rsidR="00094B09">
        <w:rPr>
          <w:rFonts w:ascii="Bookman Old Style" w:hAnsi="Bookman Old Style"/>
          <w:sz w:val="18"/>
        </w:rPr>
        <w:t xml:space="preserve">priority over conflicting law. </w:t>
      </w:r>
    </w:p>
    <w:p w14:paraId="657DC82D" w14:textId="77777777" w:rsidR="00064AFB" w:rsidRDefault="00064AFB" w:rsidP="00E47089">
      <w:pPr>
        <w:spacing w:after="0"/>
        <w:jc w:val="both"/>
        <w:rPr>
          <w:rFonts w:ascii="Bookman Old Style" w:hAnsi="Bookman Old Style"/>
          <w:sz w:val="18"/>
        </w:rPr>
      </w:pPr>
    </w:p>
    <w:p w14:paraId="4EDA5F01" w14:textId="5B1F62DD" w:rsidR="007E39B1" w:rsidRPr="00CE3E5E" w:rsidRDefault="007059A3" w:rsidP="00E47089">
      <w:pPr>
        <w:spacing w:after="0"/>
        <w:jc w:val="both"/>
        <w:rPr>
          <w:rFonts w:ascii="Bookman Old Style" w:hAnsi="Bookman Old Style"/>
          <w:sz w:val="18"/>
        </w:rPr>
      </w:pPr>
      <w:r>
        <w:rPr>
          <w:rFonts w:ascii="Bookman Old Style" w:hAnsi="Bookman Old Style"/>
          <w:sz w:val="18"/>
        </w:rPr>
        <w:t>These court rules have</w:t>
      </w:r>
      <w:r w:rsidR="007E39B1" w:rsidRPr="00CE3E5E">
        <w:rPr>
          <w:rFonts w:ascii="Bookman Old Style" w:hAnsi="Bookman Old Style"/>
          <w:sz w:val="18"/>
        </w:rPr>
        <w:t xml:space="preserve"> authoritative effect </w:t>
      </w:r>
      <w:r w:rsidR="00AD5C7F">
        <w:rPr>
          <w:rFonts w:ascii="Bookman Old Style" w:hAnsi="Bookman Old Style"/>
          <w:sz w:val="18"/>
        </w:rPr>
        <w:t xml:space="preserve">in cases where </w:t>
      </w:r>
      <w:r w:rsidR="00603B08">
        <w:rPr>
          <w:rFonts w:ascii="Bookman Old Style" w:hAnsi="Bookman Old Style"/>
          <w:sz w:val="18"/>
        </w:rPr>
        <w:t xml:space="preserve">the </w:t>
      </w:r>
      <w:r w:rsidR="00603B08" w:rsidRPr="0009420F">
        <w:rPr>
          <w:rFonts w:ascii="Bookman Old Style" w:hAnsi="Bookman Old Style"/>
          <w:sz w:val="18"/>
        </w:rPr>
        <w:t xml:space="preserve">Convention on International Interests in Mobile Equipment, 2001 (the </w:t>
      </w:r>
      <w:r w:rsidR="00603B08" w:rsidRPr="0009420F">
        <w:rPr>
          <w:rFonts w:ascii="Bookman Old Style" w:hAnsi="Bookman Old Style"/>
          <w:i/>
          <w:sz w:val="18"/>
        </w:rPr>
        <w:t>Convention</w:t>
      </w:r>
      <w:r w:rsidR="00603B08" w:rsidRPr="0009420F">
        <w:rPr>
          <w:rFonts w:ascii="Bookman Old Style" w:hAnsi="Bookman Old Style"/>
          <w:sz w:val="18"/>
        </w:rPr>
        <w:t xml:space="preserve">), as modified by the Protocol to the Convention on International Interests in Mobile Equipment on Matters Specific to Aircraft Equipment, 2001 (the </w:t>
      </w:r>
      <w:r w:rsidR="00603B08" w:rsidRPr="0009420F">
        <w:rPr>
          <w:rFonts w:ascii="Bookman Old Style" w:hAnsi="Bookman Old Style"/>
          <w:i/>
          <w:sz w:val="18"/>
        </w:rPr>
        <w:t>Protocol</w:t>
      </w:r>
      <w:r w:rsidR="00603B08" w:rsidRPr="0009420F">
        <w:rPr>
          <w:rFonts w:ascii="Bookman Old Style" w:hAnsi="Bookman Old Style"/>
          <w:sz w:val="18"/>
        </w:rPr>
        <w:t xml:space="preserve">), including the declarations lodged by </w:t>
      </w:r>
      <w:r>
        <w:rPr>
          <w:rFonts w:ascii="Bookman Old Style" w:hAnsi="Bookman Old Style"/>
          <w:sz w:val="18"/>
        </w:rPr>
        <w:t>[</w:t>
      </w:r>
      <w:r w:rsidRPr="007059A3">
        <w:rPr>
          <w:rFonts w:ascii="Bookman Old Style" w:hAnsi="Bookman Old Style"/>
          <w:color w:val="FFC000"/>
          <w:sz w:val="18"/>
        </w:rPr>
        <w:t>insert country</w:t>
      </w:r>
      <w:r>
        <w:rPr>
          <w:rFonts w:ascii="Bookman Old Style" w:hAnsi="Bookman Old Style"/>
          <w:sz w:val="18"/>
        </w:rPr>
        <w:t xml:space="preserve">] </w:t>
      </w:r>
      <w:r w:rsidR="00603B08" w:rsidRPr="0009420F">
        <w:rPr>
          <w:rFonts w:ascii="Bookman Old Style" w:hAnsi="Bookman Old Style"/>
          <w:sz w:val="18"/>
        </w:rPr>
        <w:t xml:space="preserve">in connection </w:t>
      </w:r>
      <w:r w:rsidR="00603B08" w:rsidRPr="007059A3">
        <w:rPr>
          <w:rFonts w:ascii="Bookman Old Style" w:hAnsi="Bookman Old Style"/>
          <w:sz w:val="18"/>
        </w:rPr>
        <w:t>with</w:t>
      </w:r>
      <w:r w:rsidR="00603B08" w:rsidRPr="0009420F">
        <w:rPr>
          <w:rFonts w:ascii="Bookman Old Style" w:hAnsi="Bookman Old Style"/>
          <w:sz w:val="18"/>
        </w:rPr>
        <w:t xml:space="preserve"> its accession to the Convention and Protocol</w:t>
      </w:r>
      <w:r w:rsidR="00603B08">
        <w:rPr>
          <w:rFonts w:ascii="Bookman Old Style" w:hAnsi="Bookman Old Style"/>
          <w:sz w:val="18"/>
        </w:rPr>
        <w:t xml:space="preserve"> (collectively, hereinafter, </w:t>
      </w:r>
      <w:r w:rsidR="00603B08">
        <w:rPr>
          <w:rFonts w:ascii="Bookman Old Style" w:hAnsi="Bookman Old Style"/>
          <w:i/>
          <w:sz w:val="18"/>
        </w:rPr>
        <w:t>CTC</w:t>
      </w:r>
      <w:r w:rsidR="00603B08">
        <w:rPr>
          <w:rFonts w:ascii="Bookman Old Style" w:hAnsi="Bookman Old Style"/>
          <w:sz w:val="18"/>
        </w:rPr>
        <w:t xml:space="preserve">) </w:t>
      </w:r>
      <w:r w:rsidR="00AD5C7F">
        <w:rPr>
          <w:rFonts w:ascii="Bookman Old Style" w:hAnsi="Bookman Old Style"/>
          <w:sz w:val="18"/>
        </w:rPr>
        <w:t>is applicable</w:t>
      </w:r>
      <w:r w:rsidR="007E39B1" w:rsidRPr="00CE3E5E">
        <w:rPr>
          <w:rFonts w:ascii="Bookman Old Style" w:hAnsi="Bookman Old Style"/>
          <w:sz w:val="18"/>
        </w:rPr>
        <w:t>:</w:t>
      </w:r>
    </w:p>
    <w:p w14:paraId="2A7B8D3F" w14:textId="77777777" w:rsidR="007E39B1" w:rsidRPr="00CE3E5E" w:rsidRDefault="007E39B1" w:rsidP="00E47089">
      <w:pPr>
        <w:spacing w:after="0"/>
        <w:jc w:val="both"/>
        <w:rPr>
          <w:rFonts w:ascii="Bookman Old Style" w:hAnsi="Bookman Old Style"/>
          <w:sz w:val="18"/>
        </w:rPr>
      </w:pPr>
    </w:p>
    <w:p w14:paraId="60E6623B" w14:textId="19C5D4F4" w:rsidR="007E39B1" w:rsidRDefault="0009420F" w:rsidP="00E47089">
      <w:pPr>
        <w:pStyle w:val="Prrafodelista"/>
        <w:numPr>
          <w:ilvl w:val="0"/>
          <w:numId w:val="1"/>
        </w:numPr>
        <w:spacing w:after="0"/>
        <w:jc w:val="both"/>
        <w:rPr>
          <w:rFonts w:ascii="Bookman Old Style" w:hAnsi="Bookman Old Style"/>
          <w:sz w:val="18"/>
        </w:rPr>
      </w:pPr>
      <w:r>
        <w:rPr>
          <w:rFonts w:ascii="Bookman Old Style" w:hAnsi="Bookman Old Style"/>
          <w:sz w:val="18"/>
        </w:rPr>
        <w:t xml:space="preserve">The </w:t>
      </w:r>
      <w:r w:rsidR="00864990">
        <w:rPr>
          <w:rFonts w:ascii="Bookman Old Style" w:hAnsi="Bookman Old Style"/>
          <w:sz w:val="18"/>
        </w:rPr>
        <w:t xml:space="preserve">provisions of </w:t>
      </w:r>
      <w:r w:rsidR="00603B08">
        <w:rPr>
          <w:rFonts w:ascii="Bookman Old Style" w:hAnsi="Bookman Old Style"/>
          <w:sz w:val="18"/>
        </w:rPr>
        <w:t xml:space="preserve">CTC </w:t>
      </w:r>
      <w:r w:rsidR="002B42AD">
        <w:rPr>
          <w:rFonts w:ascii="Bookman Old Style" w:hAnsi="Bookman Old Style"/>
          <w:sz w:val="18"/>
        </w:rPr>
        <w:t xml:space="preserve">prevail </w:t>
      </w:r>
      <w:r w:rsidR="00864990">
        <w:rPr>
          <w:rFonts w:ascii="Bookman Old Style" w:hAnsi="Bookman Old Style"/>
          <w:sz w:val="18"/>
        </w:rPr>
        <w:t>over any conflicting laws and regulations</w:t>
      </w:r>
      <w:r w:rsidR="00E47089">
        <w:rPr>
          <w:rFonts w:ascii="Bookman Old Style" w:hAnsi="Bookman Old Style"/>
          <w:sz w:val="18"/>
        </w:rPr>
        <w:t xml:space="preserve"> pursuant to </w:t>
      </w:r>
      <w:r w:rsidR="007059A3">
        <w:rPr>
          <w:rFonts w:ascii="Bookman Old Style" w:hAnsi="Bookman Old Style"/>
          <w:sz w:val="18"/>
        </w:rPr>
        <w:t>[</w:t>
      </w:r>
      <w:r w:rsidR="007059A3" w:rsidRPr="007059A3">
        <w:rPr>
          <w:rFonts w:ascii="Bookman Old Style" w:hAnsi="Bookman Old Style"/>
          <w:color w:val="FFC000"/>
          <w:sz w:val="18"/>
        </w:rPr>
        <w:t>insert basis of treaty primacy</w:t>
      </w:r>
      <w:r w:rsidR="007059A3">
        <w:rPr>
          <w:rFonts w:ascii="Bookman Old Style" w:hAnsi="Bookman Old Style"/>
          <w:sz w:val="18"/>
        </w:rPr>
        <w:t>].</w:t>
      </w:r>
      <w:r w:rsidR="00E37BFD">
        <w:rPr>
          <w:rFonts w:ascii="Bookman Old Style" w:hAnsi="Bookman Old Style"/>
          <w:sz w:val="18"/>
        </w:rPr>
        <w:t xml:space="preserve">  </w:t>
      </w:r>
    </w:p>
    <w:p w14:paraId="0153620E" w14:textId="77777777" w:rsidR="004B7F53" w:rsidRPr="00CE3E5E" w:rsidRDefault="004B7F53" w:rsidP="00E47089">
      <w:pPr>
        <w:pStyle w:val="Prrafodelista"/>
        <w:spacing w:after="0"/>
        <w:jc w:val="both"/>
        <w:rPr>
          <w:rFonts w:ascii="Bookman Old Style" w:hAnsi="Bookman Old Style"/>
          <w:sz w:val="18"/>
        </w:rPr>
      </w:pPr>
    </w:p>
    <w:p w14:paraId="76E566C9" w14:textId="77AA06F2" w:rsidR="007E39B1" w:rsidRPr="00001FA5" w:rsidRDefault="007E39B1" w:rsidP="00E47089">
      <w:pPr>
        <w:pStyle w:val="Prrafodelista"/>
        <w:numPr>
          <w:ilvl w:val="0"/>
          <w:numId w:val="1"/>
        </w:numPr>
        <w:spacing w:after="0"/>
        <w:jc w:val="both"/>
        <w:rPr>
          <w:rFonts w:ascii="Bookman Old Style" w:hAnsi="Bookman Old Style"/>
          <w:sz w:val="18"/>
        </w:rPr>
      </w:pPr>
      <w:r w:rsidRPr="00001FA5">
        <w:rPr>
          <w:rFonts w:ascii="Bookman Old Style" w:hAnsi="Bookman Old Style"/>
          <w:sz w:val="18"/>
        </w:rPr>
        <w:t xml:space="preserve">Courts and tribunals are directed to take judicial notice of the provisions of CTC.  In interpreting </w:t>
      </w:r>
      <w:r w:rsidR="002244D6" w:rsidRPr="00001FA5">
        <w:rPr>
          <w:rFonts w:ascii="Bookman Old Style" w:hAnsi="Bookman Old Style"/>
          <w:sz w:val="18"/>
        </w:rPr>
        <w:t>CTC</w:t>
      </w:r>
      <w:r w:rsidR="00001FA5" w:rsidRPr="00001FA5">
        <w:rPr>
          <w:rFonts w:ascii="Bookman Old Style" w:hAnsi="Bookman Old Style"/>
          <w:sz w:val="18"/>
        </w:rPr>
        <w:t xml:space="preserve"> and resolving questions that are not expressly settled by its provisions, courts and tribunals shall comply with Article 5 of the Convention, which requires interpretation in conformity with the general principles and purposes of CTC, as set forth in the Convention preamble.  Reference </w:t>
      </w:r>
      <w:r w:rsidR="00001FA5">
        <w:rPr>
          <w:rFonts w:ascii="Bookman Old Style" w:hAnsi="Bookman Old Style"/>
          <w:sz w:val="18"/>
        </w:rPr>
        <w:t>to</w:t>
      </w:r>
      <w:r w:rsidR="007059A3">
        <w:rPr>
          <w:rFonts w:ascii="Bookman Old Style" w:hAnsi="Bookman Old Style"/>
          <w:sz w:val="18"/>
        </w:rPr>
        <w:t xml:space="preserve"> </w:t>
      </w:r>
      <w:r w:rsidRPr="00001FA5">
        <w:rPr>
          <w:rFonts w:ascii="Bookman Old Style" w:hAnsi="Bookman Old Style"/>
          <w:sz w:val="18"/>
        </w:rPr>
        <w:t xml:space="preserve">the Official Commentary by Professor Sir Roy Goode </w:t>
      </w:r>
      <w:r w:rsidR="007059A3">
        <w:rPr>
          <w:rFonts w:ascii="Bookman Old Style" w:hAnsi="Bookman Old Style"/>
          <w:sz w:val="18"/>
        </w:rPr>
        <w:t>(5</w:t>
      </w:r>
      <w:r w:rsidR="007059A3" w:rsidRPr="007059A3">
        <w:rPr>
          <w:rFonts w:ascii="Bookman Old Style" w:hAnsi="Bookman Old Style"/>
          <w:sz w:val="18"/>
          <w:vertAlign w:val="superscript"/>
        </w:rPr>
        <w:t>th</w:t>
      </w:r>
      <w:r w:rsidR="007059A3">
        <w:rPr>
          <w:rFonts w:ascii="Bookman Old Style" w:hAnsi="Bookman Old Style"/>
          <w:sz w:val="18"/>
        </w:rPr>
        <w:t xml:space="preserve"> Ed., as revised) </w:t>
      </w:r>
      <w:r w:rsidRPr="00001FA5">
        <w:rPr>
          <w:rFonts w:ascii="Bookman Old Style" w:hAnsi="Bookman Old Style"/>
          <w:sz w:val="18"/>
        </w:rPr>
        <w:t>prepared in response to Resolution No. 5 of the Diplomatic Conference and such other texts relevant to interpre</w:t>
      </w:r>
      <w:r w:rsidR="00001FA5" w:rsidRPr="00001FA5">
        <w:rPr>
          <w:rFonts w:ascii="Bookman Old Style" w:hAnsi="Bookman Old Style"/>
          <w:sz w:val="18"/>
        </w:rPr>
        <w:t>tation of CTC</w:t>
      </w:r>
      <w:r w:rsidRPr="00001FA5">
        <w:rPr>
          <w:rFonts w:ascii="Bookman Old Style" w:hAnsi="Bookman Old Style"/>
          <w:sz w:val="18"/>
        </w:rPr>
        <w:t xml:space="preserve">, including the </w:t>
      </w:r>
      <w:r w:rsidR="00001FA5">
        <w:rPr>
          <w:rFonts w:ascii="Bookman Old Style" w:hAnsi="Bookman Old Style"/>
          <w:sz w:val="18"/>
        </w:rPr>
        <w:t>Ju</w:t>
      </w:r>
      <w:r w:rsidRPr="00001FA5">
        <w:rPr>
          <w:rFonts w:ascii="Bookman Old Style" w:hAnsi="Bookman Old Style"/>
          <w:sz w:val="18"/>
        </w:rPr>
        <w:t xml:space="preserve">dicial </w:t>
      </w:r>
      <w:r w:rsidR="009C0D28">
        <w:rPr>
          <w:rFonts w:ascii="Bookman Old Style" w:hAnsi="Bookman Old Style"/>
          <w:sz w:val="18"/>
        </w:rPr>
        <w:t>Guide</w:t>
      </w:r>
      <w:r w:rsidRPr="00001FA5">
        <w:rPr>
          <w:rFonts w:ascii="Bookman Old Style" w:hAnsi="Bookman Old Style"/>
          <w:sz w:val="18"/>
        </w:rPr>
        <w:t xml:space="preserve"> issued by the Aviation Working Group</w:t>
      </w:r>
      <w:r w:rsidR="00001FA5">
        <w:rPr>
          <w:rFonts w:ascii="Bookman Old Style" w:hAnsi="Bookman Old Style"/>
          <w:sz w:val="18"/>
        </w:rPr>
        <w:t>, in assisting courts with such interpretation should be undertaken as</w:t>
      </w:r>
      <w:r w:rsidR="00847690">
        <w:rPr>
          <w:rFonts w:ascii="Bookman Old Style" w:hAnsi="Bookman Old Style"/>
          <w:sz w:val="18"/>
        </w:rPr>
        <w:t xml:space="preserve"> a</w:t>
      </w:r>
      <w:r w:rsidR="00001FA5">
        <w:rPr>
          <w:rFonts w:ascii="Bookman Old Style" w:hAnsi="Bookman Old Style"/>
          <w:sz w:val="18"/>
        </w:rPr>
        <w:t xml:space="preserve"> best</w:t>
      </w:r>
      <w:r w:rsidR="00913118">
        <w:rPr>
          <w:rFonts w:ascii="Bookman Old Style" w:hAnsi="Bookman Old Style"/>
          <w:sz w:val="18"/>
        </w:rPr>
        <w:t xml:space="preserve"> </w:t>
      </w:r>
      <w:r w:rsidR="00001FA5">
        <w:rPr>
          <w:rFonts w:ascii="Bookman Old Style" w:hAnsi="Bookman Old Style"/>
          <w:sz w:val="18"/>
        </w:rPr>
        <w:t xml:space="preserve">practice. </w:t>
      </w:r>
    </w:p>
    <w:p w14:paraId="59A51399" w14:textId="77777777" w:rsidR="004B7F53" w:rsidRPr="004B7F53" w:rsidRDefault="004B7F53" w:rsidP="00E47089">
      <w:pPr>
        <w:spacing w:after="0"/>
        <w:jc w:val="both"/>
        <w:rPr>
          <w:rFonts w:ascii="Bookman Old Style" w:hAnsi="Bookman Old Style"/>
          <w:sz w:val="18"/>
        </w:rPr>
      </w:pPr>
    </w:p>
    <w:p w14:paraId="2CEDAD13" w14:textId="77777777" w:rsidR="007E39B1" w:rsidRDefault="00913118" w:rsidP="00E47089">
      <w:pPr>
        <w:pStyle w:val="Prrafodelista"/>
        <w:numPr>
          <w:ilvl w:val="0"/>
          <w:numId w:val="1"/>
        </w:numPr>
        <w:spacing w:after="0"/>
        <w:jc w:val="both"/>
        <w:rPr>
          <w:rFonts w:ascii="Bookman Old Style" w:hAnsi="Bookman Old Style"/>
          <w:sz w:val="18"/>
        </w:rPr>
      </w:pPr>
      <w:r>
        <w:rPr>
          <w:rFonts w:ascii="Bookman Old Style" w:hAnsi="Bookman Old Style"/>
          <w:sz w:val="18"/>
        </w:rPr>
        <w:t xml:space="preserve">Remedies under CTC are </w:t>
      </w:r>
      <w:r>
        <w:rPr>
          <w:rFonts w:ascii="Bookman Old Style" w:hAnsi="Bookman Old Style"/>
          <w:i/>
          <w:sz w:val="18"/>
        </w:rPr>
        <w:t xml:space="preserve">sui </w:t>
      </w:r>
      <w:r w:rsidRPr="00913118">
        <w:rPr>
          <w:rFonts w:ascii="Bookman Old Style" w:hAnsi="Bookman Old Style"/>
          <w:i/>
          <w:sz w:val="18"/>
        </w:rPr>
        <w:t>generis</w:t>
      </w:r>
      <w:r>
        <w:rPr>
          <w:rFonts w:ascii="Bookman Old Style" w:hAnsi="Bookman Old Style"/>
          <w:i/>
          <w:sz w:val="18"/>
        </w:rPr>
        <w:t xml:space="preserve"> </w:t>
      </w:r>
      <w:r>
        <w:rPr>
          <w:rFonts w:ascii="Bookman Old Style" w:hAnsi="Bookman Old Style"/>
          <w:sz w:val="18"/>
        </w:rPr>
        <w:t>and shall not be interpreted as any non-CTC, national law remedies that may have similar characteristics.  National law conditions to exercising</w:t>
      </w:r>
      <w:r w:rsidR="00BA5605">
        <w:rPr>
          <w:rFonts w:ascii="Bookman Old Style" w:hAnsi="Bookman Old Style"/>
          <w:sz w:val="18"/>
        </w:rPr>
        <w:t xml:space="preserve"> non-CTC</w:t>
      </w:r>
      <w:r w:rsidR="00D13EF1">
        <w:rPr>
          <w:rFonts w:ascii="Bookman Old Style" w:hAnsi="Bookman Old Style"/>
          <w:sz w:val="18"/>
        </w:rPr>
        <w:t xml:space="preserve"> national law</w:t>
      </w:r>
      <w:r>
        <w:rPr>
          <w:rFonts w:ascii="Bookman Old Style" w:hAnsi="Bookman Old Style"/>
          <w:sz w:val="18"/>
        </w:rPr>
        <w:t xml:space="preserve"> remedies may not be </w:t>
      </w:r>
      <w:r w:rsidR="00D13EF1">
        <w:rPr>
          <w:rFonts w:ascii="Bookman Old Style" w:hAnsi="Bookman Old Style"/>
          <w:sz w:val="18"/>
        </w:rPr>
        <w:t>extended</w:t>
      </w:r>
      <w:r>
        <w:rPr>
          <w:rFonts w:ascii="Bookman Old Style" w:hAnsi="Bookman Old Style"/>
          <w:sz w:val="18"/>
        </w:rPr>
        <w:t xml:space="preserve"> to CTC remedies</w:t>
      </w:r>
      <w:r w:rsidR="00D13EF1">
        <w:rPr>
          <w:rFonts w:ascii="Bookman Old Style" w:hAnsi="Bookman Old Style"/>
          <w:sz w:val="18"/>
        </w:rPr>
        <w:t>, which are subject solely to requirements or conditions</w:t>
      </w:r>
      <w:r w:rsidR="00D31B11">
        <w:rPr>
          <w:rFonts w:ascii="Bookman Old Style" w:hAnsi="Bookman Old Style"/>
          <w:sz w:val="18"/>
        </w:rPr>
        <w:t>, if any,</w:t>
      </w:r>
      <w:r w:rsidR="00D13EF1">
        <w:rPr>
          <w:rFonts w:ascii="Bookman Old Style" w:hAnsi="Bookman Old Style"/>
          <w:sz w:val="18"/>
        </w:rPr>
        <w:t xml:space="preserve"> </w:t>
      </w:r>
      <w:r w:rsidR="00C812A9">
        <w:rPr>
          <w:rFonts w:ascii="Bookman Old Style" w:hAnsi="Bookman Old Style"/>
          <w:sz w:val="18"/>
        </w:rPr>
        <w:t>under</w:t>
      </w:r>
      <w:r w:rsidR="00D13EF1">
        <w:rPr>
          <w:rFonts w:ascii="Bookman Old Style" w:hAnsi="Bookman Old Style"/>
          <w:sz w:val="18"/>
        </w:rPr>
        <w:t xml:space="preserve"> CTC.</w:t>
      </w:r>
      <w:r>
        <w:rPr>
          <w:rFonts w:ascii="Bookman Old Style" w:hAnsi="Bookman Old Style"/>
          <w:sz w:val="18"/>
        </w:rPr>
        <w:t xml:space="preserve">   </w:t>
      </w:r>
    </w:p>
    <w:p w14:paraId="3515793C" w14:textId="77777777" w:rsidR="004B7F53" w:rsidRPr="004B7F53" w:rsidRDefault="004B7F53" w:rsidP="00E47089">
      <w:pPr>
        <w:spacing w:after="0"/>
        <w:jc w:val="both"/>
        <w:rPr>
          <w:rFonts w:ascii="Bookman Old Style" w:hAnsi="Bookman Old Style"/>
          <w:sz w:val="18"/>
        </w:rPr>
      </w:pPr>
    </w:p>
    <w:p w14:paraId="13D8C9A4" w14:textId="7B9D64ED" w:rsidR="00FC4F97" w:rsidRDefault="00FC4F97" w:rsidP="00E47089">
      <w:pPr>
        <w:pStyle w:val="Prrafodelista"/>
        <w:numPr>
          <w:ilvl w:val="0"/>
          <w:numId w:val="1"/>
        </w:numPr>
        <w:spacing w:after="0"/>
        <w:jc w:val="both"/>
        <w:rPr>
          <w:rFonts w:ascii="Bookman Old Style" w:hAnsi="Bookman Old Style"/>
          <w:sz w:val="18"/>
        </w:rPr>
      </w:pPr>
      <w:r>
        <w:rPr>
          <w:rFonts w:ascii="Bookman Old Style" w:hAnsi="Bookman Old Style"/>
          <w:sz w:val="18"/>
        </w:rPr>
        <w:t>Courts and tribunals are directed to adhere strictly to the t</w:t>
      </w:r>
      <w:r w:rsidR="007E39B1" w:rsidRPr="00CE3E5E">
        <w:rPr>
          <w:rFonts w:ascii="Bookman Old Style" w:hAnsi="Bookman Old Style"/>
          <w:sz w:val="18"/>
        </w:rPr>
        <w:t>imetables</w:t>
      </w:r>
      <w:r>
        <w:rPr>
          <w:rFonts w:ascii="Bookman Old Style" w:hAnsi="Bookman Old Style"/>
          <w:sz w:val="18"/>
        </w:rPr>
        <w:t xml:space="preserve"> prescribed by CTC:</w:t>
      </w:r>
      <w:r w:rsidR="00FF2047">
        <w:rPr>
          <w:rFonts w:ascii="Bookman Old Style" w:hAnsi="Bookman Old Style"/>
          <w:sz w:val="18"/>
        </w:rPr>
        <w:t xml:space="preserve"> **</w:t>
      </w:r>
    </w:p>
    <w:p w14:paraId="7EBC600E" w14:textId="77777777" w:rsidR="00FC4F97" w:rsidRPr="00FC4F97" w:rsidRDefault="00FC4F97" w:rsidP="00E47089">
      <w:pPr>
        <w:pStyle w:val="Prrafodelista"/>
        <w:jc w:val="both"/>
        <w:rPr>
          <w:rFonts w:ascii="Bookman Old Style" w:hAnsi="Bookman Old Style"/>
          <w:sz w:val="18"/>
        </w:rPr>
      </w:pPr>
    </w:p>
    <w:p w14:paraId="1BBE043B" w14:textId="4D337DC4" w:rsidR="00FC4F97" w:rsidRPr="007A44BE" w:rsidRDefault="00FC4F97" w:rsidP="00E47089">
      <w:pPr>
        <w:pStyle w:val="Prrafodelista"/>
        <w:numPr>
          <w:ilvl w:val="1"/>
          <w:numId w:val="1"/>
        </w:numPr>
        <w:spacing w:after="0"/>
        <w:jc w:val="both"/>
        <w:rPr>
          <w:rFonts w:ascii="Bookman Old Style" w:hAnsi="Bookman Old Style"/>
          <w:sz w:val="18"/>
        </w:rPr>
      </w:pPr>
      <w:r w:rsidRPr="007A44BE">
        <w:rPr>
          <w:rFonts w:ascii="Bookman Old Style" w:hAnsi="Bookman Old Style"/>
          <w:sz w:val="18"/>
        </w:rPr>
        <w:t>A</w:t>
      </w:r>
      <w:r w:rsidR="007E39B1" w:rsidRPr="007A44BE">
        <w:rPr>
          <w:rFonts w:ascii="Bookman Old Style" w:hAnsi="Bookman Old Style"/>
          <w:sz w:val="18"/>
        </w:rPr>
        <w:t>rticle 13</w:t>
      </w:r>
      <w:r w:rsidR="00A30DFF">
        <w:rPr>
          <w:rFonts w:ascii="Bookman Old Style" w:hAnsi="Bookman Old Style"/>
          <w:sz w:val="18"/>
        </w:rPr>
        <w:t xml:space="preserve"> of the Convention</w:t>
      </w:r>
      <w:r w:rsidR="007A44BE" w:rsidRPr="007A44BE">
        <w:rPr>
          <w:rFonts w:ascii="Bookman Old Style" w:hAnsi="Bookman Old Style"/>
          <w:sz w:val="18"/>
        </w:rPr>
        <w:t xml:space="preserve">: the remedies </w:t>
      </w:r>
      <w:r w:rsidR="00A30DFF">
        <w:rPr>
          <w:rFonts w:ascii="Bookman Old Style" w:hAnsi="Bookman Old Style"/>
          <w:sz w:val="18"/>
        </w:rPr>
        <w:t>in Article 13(1)</w:t>
      </w:r>
      <w:r w:rsidR="007A44BE" w:rsidRPr="007A44BE">
        <w:rPr>
          <w:rFonts w:ascii="Bookman Old Style" w:hAnsi="Bookman Old Style"/>
          <w:sz w:val="18"/>
        </w:rPr>
        <w:t xml:space="preserve">(a) </w:t>
      </w:r>
      <w:r w:rsidR="00F25E48">
        <w:rPr>
          <w:rFonts w:ascii="Bookman Old Style" w:hAnsi="Bookman Old Style"/>
          <w:sz w:val="18"/>
        </w:rPr>
        <w:t>(</w:t>
      </w:r>
      <w:r w:rsidR="007A44BE" w:rsidRPr="007A44BE">
        <w:rPr>
          <w:rFonts w:ascii="Bookman Old Style" w:hAnsi="Bookman Old Style"/>
          <w:sz w:val="18"/>
        </w:rPr>
        <w:t>preservation of the object and its value</w:t>
      </w:r>
      <w:r w:rsidR="00F25E48">
        <w:rPr>
          <w:rFonts w:ascii="Bookman Old Style" w:hAnsi="Bookman Old Style"/>
          <w:sz w:val="18"/>
        </w:rPr>
        <w:t>)</w:t>
      </w:r>
      <w:r w:rsidR="007A44BE" w:rsidRPr="007A44BE">
        <w:rPr>
          <w:rFonts w:ascii="Bookman Old Style" w:hAnsi="Bookman Old Style"/>
          <w:sz w:val="18"/>
        </w:rPr>
        <w:t xml:space="preserve">; (b) </w:t>
      </w:r>
      <w:r w:rsidR="00F25E48">
        <w:rPr>
          <w:rFonts w:ascii="Bookman Old Style" w:hAnsi="Bookman Old Style"/>
          <w:sz w:val="18"/>
        </w:rPr>
        <w:t>(</w:t>
      </w:r>
      <w:r w:rsidR="007A44BE" w:rsidRPr="007A44BE">
        <w:rPr>
          <w:rFonts w:ascii="Bookman Old Style" w:hAnsi="Bookman Old Style"/>
          <w:sz w:val="18"/>
        </w:rPr>
        <w:t>possession, control or custody of the object</w:t>
      </w:r>
      <w:r w:rsidR="00A30DFF">
        <w:rPr>
          <w:rFonts w:ascii="Bookman Old Style" w:hAnsi="Bookman Old Style"/>
          <w:sz w:val="18"/>
        </w:rPr>
        <w:t xml:space="preserve"> (e.g., repossession)</w:t>
      </w:r>
      <w:r w:rsidR="00F25E48">
        <w:rPr>
          <w:rFonts w:ascii="Bookman Old Style" w:hAnsi="Bookman Old Style"/>
          <w:sz w:val="18"/>
        </w:rPr>
        <w:t>)</w:t>
      </w:r>
      <w:r w:rsidR="007A44BE" w:rsidRPr="007A44BE">
        <w:rPr>
          <w:rFonts w:ascii="Bookman Old Style" w:hAnsi="Bookman Old Style"/>
          <w:sz w:val="18"/>
        </w:rPr>
        <w:t>;</w:t>
      </w:r>
      <w:r w:rsidR="00F25E48">
        <w:rPr>
          <w:rFonts w:ascii="Bookman Old Style" w:hAnsi="Bookman Old Style"/>
          <w:sz w:val="18"/>
        </w:rPr>
        <w:t xml:space="preserve"> and</w:t>
      </w:r>
      <w:r w:rsidR="007A44BE">
        <w:rPr>
          <w:rFonts w:ascii="Bookman Old Style" w:hAnsi="Bookman Old Style"/>
          <w:sz w:val="18"/>
        </w:rPr>
        <w:t xml:space="preserve"> </w:t>
      </w:r>
      <w:r w:rsidR="007A44BE" w:rsidRPr="007A44BE">
        <w:rPr>
          <w:rFonts w:ascii="Bookman Old Style" w:hAnsi="Bookman Old Style"/>
          <w:sz w:val="18"/>
        </w:rPr>
        <w:t xml:space="preserve">(c) </w:t>
      </w:r>
      <w:r w:rsidR="00F25E48">
        <w:rPr>
          <w:rFonts w:ascii="Bookman Old Style" w:hAnsi="Bookman Old Style"/>
          <w:sz w:val="18"/>
        </w:rPr>
        <w:t>(</w:t>
      </w:r>
      <w:proofErr w:type="spellStart"/>
      <w:r w:rsidR="007A44BE" w:rsidRPr="007A44BE">
        <w:rPr>
          <w:rFonts w:ascii="Bookman Old Style" w:hAnsi="Bookman Old Style"/>
          <w:sz w:val="18"/>
        </w:rPr>
        <w:t>immobilisation</w:t>
      </w:r>
      <w:proofErr w:type="spellEnd"/>
      <w:r w:rsidR="007A44BE" w:rsidRPr="007A44BE">
        <w:rPr>
          <w:rFonts w:ascii="Bookman Old Style" w:hAnsi="Bookman Old Style"/>
          <w:sz w:val="18"/>
        </w:rPr>
        <w:t xml:space="preserve"> of the object</w:t>
      </w:r>
      <w:r w:rsidR="00A30DFF">
        <w:rPr>
          <w:rFonts w:ascii="Bookman Old Style" w:hAnsi="Bookman Old Style"/>
          <w:sz w:val="18"/>
        </w:rPr>
        <w:t xml:space="preserve"> (e.g. grounding of an aircraft</w:t>
      </w:r>
      <w:r w:rsidR="00F25E48">
        <w:rPr>
          <w:rFonts w:ascii="Bookman Old Style" w:hAnsi="Bookman Old Style"/>
          <w:sz w:val="18"/>
        </w:rPr>
        <w:t>)</w:t>
      </w:r>
      <w:r w:rsidR="00A30DFF">
        <w:rPr>
          <w:rFonts w:ascii="Bookman Old Style" w:hAnsi="Bookman Old Style"/>
          <w:sz w:val="18"/>
        </w:rPr>
        <w:t xml:space="preserve">) </w:t>
      </w:r>
      <w:r w:rsidR="007A44BE" w:rsidRPr="007A44BE">
        <w:rPr>
          <w:rFonts w:ascii="Bookman Old Style" w:hAnsi="Bookman Old Style"/>
          <w:sz w:val="18"/>
        </w:rPr>
        <w:t xml:space="preserve">shall be granted to the requesting creditor </w:t>
      </w:r>
      <w:r w:rsidR="007A44BE" w:rsidRPr="00B92C4B">
        <w:rPr>
          <w:rFonts w:ascii="Bookman Old Style" w:hAnsi="Bookman Old Style"/>
          <w:sz w:val="18"/>
        </w:rPr>
        <w:t xml:space="preserve">within </w:t>
      </w:r>
      <w:r w:rsidR="00FF2047">
        <w:rPr>
          <w:rFonts w:ascii="Bookman Old Style" w:hAnsi="Bookman Old Style"/>
          <w:sz w:val="18"/>
        </w:rPr>
        <w:t>[</w:t>
      </w:r>
      <w:r w:rsidR="007A44BE" w:rsidRPr="00B92C4B">
        <w:rPr>
          <w:rFonts w:ascii="Bookman Old Style" w:hAnsi="Bookman Old Style"/>
          <w:sz w:val="18"/>
        </w:rPr>
        <w:t>10</w:t>
      </w:r>
      <w:r w:rsidR="00FF2047">
        <w:rPr>
          <w:rFonts w:ascii="Bookman Old Style" w:hAnsi="Bookman Old Style"/>
          <w:sz w:val="18"/>
        </w:rPr>
        <w:t>]</w:t>
      </w:r>
      <w:r w:rsidR="007A44BE" w:rsidRPr="00B92C4B">
        <w:rPr>
          <w:rFonts w:ascii="Bookman Old Style" w:hAnsi="Bookman Old Style"/>
          <w:sz w:val="18"/>
        </w:rPr>
        <w:t xml:space="preserve"> calendar days</w:t>
      </w:r>
      <w:r w:rsidR="007A44BE" w:rsidRPr="007A44BE">
        <w:rPr>
          <w:rFonts w:ascii="Bookman Old Style" w:hAnsi="Bookman Old Style"/>
          <w:sz w:val="18"/>
        </w:rPr>
        <w:t xml:space="preserve"> of the request</w:t>
      </w:r>
      <w:r w:rsidR="00F25E48">
        <w:rPr>
          <w:rFonts w:ascii="Bookman Old Style" w:hAnsi="Bookman Old Style"/>
          <w:sz w:val="18"/>
        </w:rPr>
        <w:t>.  T</w:t>
      </w:r>
      <w:r w:rsidR="00A30DFF">
        <w:rPr>
          <w:rFonts w:ascii="Bookman Old Style" w:hAnsi="Bookman Old Style"/>
          <w:sz w:val="18"/>
        </w:rPr>
        <w:t xml:space="preserve">he remedies in Article 13(1)(d) </w:t>
      </w:r>
      <w:r w:rsidR="00F25E48">
        <w:rPr>
          <w:rFonts w:ascii="Bookman Old Style" w:hAnsi="Bookman Old Style"/>
          <w:sz w:val="18"/>
        </w:rPr>
        <w:t>(</w:t>
      </w:r>
      <w:r w:rsidR="00A30DFF" w:rsidRPr="00A30DFF">
        <w:rPr>
          <w:rFonts w:ascii="Bookman Old Style" w:hAnsi="Bookman Old Style"/>
          <w:sz w:val="18"/>
        </w:rPr>
        <w:t>lease or</w:t>
      </w:r>
      <w:r w:rsidR="00A30DFF">
        <w:rPr>
          <w:rFonts w:ascii="Bookman Old Style" w:hAnsi="Bookman Old Style"/>
          <w:sz w:val="18"/>
        </w:rPr>
        <w:t xml:space="preserve"> </w:t>
      </w:r>
      <w:r w:rsidR="00A30DFF" w:rsidRPr="00A30DFF">
        <w:rPr>
          <w:rFonts w:ascii="Bookman Old Style" w:hAnsi="Bookman Old Style"/>
          <w:sz w:val="18"/>
        </w:rPr>
        <w:t>management of the object and the income therefrom</w:t>
      </w:r>
      <w:r w:rsidR="00F25E48">
        <w:rPr>
          <w:rFonts w:ascii="Bookman Old Style" w:hAnsi="Bookman Old Style"/>
          <w:sz w:val="18"/>
        </w:rPr>
        <w:t>)</w:t>
      </w:r>
      <w:r w:rsidR="00A30DFF">
        <w:rPr>
          <w:rFonts w:ascii="Bookman Old Style" w:hAnsi="Bookman Old Style"/>
          <w:sz w:val="18"/>
        </w:rPr>
        <w:t xml:space="preserve"> and (e) </w:t>
      </w:r>
      <w:r w:rsidR="00F25E48">
        <w:rPr>
          <w:rFonts w:ascii="Bookman Old Style" w:hAnsi="Bookman Old Style"/>
          <w:sz w:val="18"/>
        </w:rPr>
        <w:t>(</w:t>
      </w:r>
      <w:r w:rsidR="00A30DFF" w:rsidRPr="00A30DFF">
        <w:rPr>
          <w:rFonts w:ascii="Bookman Old Style" w:hAnsi="Bookman Old Style"/>
          <w:sz w:val="18"/>
        </w:rPr>
        <w:t>sale and application of proceeds therefrom</w:t>
      </w:r>
      <w:r w:rsidR="00F25E48">
        <w:rPr>
          <w:rFonts w:ascii="Bookman Old Style" w:hAnsi="Bookman Old Style"/>
          <w:sz w:val="18"/>
        </w:rPr>
        <w:t>, if agreed between debtor and creditor at any time)</w:t>
      </w:r>
      <w:r w:rsidR="00A30DFF">
        <w:rPr>
          <w:rFonts w:ascii="Bookman Old Style" w:hAnsi="Bookman Old Style"/>
          <w:sz w:val="18"/>
        </w:rPr>
        <w:t xml:space="preserve"> shall be granted to the requesting creditor </w:t>
      </w:r>
      <w:r w:rsidR="00A30DFF" w:rsidRPr="00B92C4B">
        <w:rPr>
          <w:rFonts w:ascii="Bookman Old Style" w:hAnsi="Bookman Old Style"/>
          <w:sz w:val="18"/>
        </w:rPr>
        <w:t xml:space="preserve">within </w:t>
      </w:r>
      <w:r w:rsidR="00FF2047">
        <w:rPr>
          <w:rFonts w:ascii="Bookman Old Style" w:hAnsi="Bookman Old Style"/>
          <w:sz w:val="18"/>
        </w:rPr>
        <w:t>[</w:t>
      </w:r>
      <w:r w:rsidR="00A30DFF" w:rsidRPr="00B92C4B">
        <w:rPr>
          <w:rFonts w:ascii="Bookman Old Style" w:hAnsi="Bookman Old Style"/>
          <w:sz w:val="18"/>
        </w:rPr>
        <w:t>30</w:t>
      </w:r>
      <w:r w:rsidR="00FF2047">
        <w:rPr>
          <w:rFonts w:ascii="Bookman Old Style" w:hAnsi="Bookman Old Style"/>
          <w:sz w:val="18"/>
        </w:rPr>
        <w:t>]</w:t>
      </w:r>
      <w:r w:rsidR="00A30DFF" w:rsidRPr="00B92C4B">
        <w:rPr>
          <w:rFonts w:ascii="Bookman Old Style" w:hAnsi="Bookman Old Style"/>
          <w:sz w:val="18"/>
        </w:rPr>
        <w:t xml:space="preserve"> calendar days</w:t>
      </w:r>
      <w:r w:rsidR="00A30DFF">
        <w:rPr>
          <w:rFonts w:ascii="Bookman Old Style" w:hAnsi="Bookman Old Style"/>
          <w:sz w:val="18"/>
        </w:rPr>
        <w:t xml:space="preserve"> of the request.</w:t>
      </w:r>
    </w:p>
    <w:p w14:paraId="0B6F118B" w14:textId="15E4C1A1" w:rsidR="007E39B1" w:rsidRPr="00135A95" w:rsidRDefault="007A44BE" w:rsidP="00135A95">
      <w:pPr>
        <w:pStyle w:val="Prrafodelista"/>
        <w:numPr>
          <w:ilvl w:val="1"/>
          <w:numId w:val="1"/>
        </w:numPr>
        <w:spacing w:after="0"/>
        <w:jc w:val="both"/>
        <w:rPr>
          <w:rFonts w:ascii="Bookman Old Style" w:hAnsi="Bookman Old Style"/>
          <w:sz w:val="18"/>
        </w:rPr>
      </w:pPr>
      <w:r>
        <w:rPr>
          <w:rFonts w:ascii="Bookman Old Style" w:hAnsi="Bookman Old Style"/>
          <w:sz w:val="18"/>
        </w:rPr>
        <w:t>Article XI</w:t>
      </w:r>
      <w:r w:rsidR="00A30DFF">
        <w:rPr>
          <w:rFonts w:ascii="Bookman Old Style" w:hAnsi="Bookman Old Style"/>
          <w:sz w:val="18"/>
        </w:rPr>
        <w:t xml:space="preserve"> of the Protocol</w:t>
      </w:r>
      <w:r>
        <w:rPr>
          <w:rFonts w:ascii="Bookman Old Style" w:hAnsi="Bookman Old Style"/>
          <w:sz w:val="18"/>
        </w:rPr>
        <w:t xml:space="preserve">, </w:t>
      </w:r>
      <w:r w:rsidR="007E39B1" w:rsidRPr="00CE3E5E">
        <w:rPr>
          <w:rFonts w:ascii="Bookman Old Style" w:hAnsi="Bookman Old Style"/>
          <w:sz w:val="18"/>
        </w:rPr>
        <w:t>Alternative A</w:t>
      </w:r>
      <w:r w:rsidR="000343BD">
        <w:rPr>
          <w:rFonts w:ascii="Bookman Old Style" w:hAnsi="Bookman Old Style"/>
          <w:sz w:val="18"/>
        </w:rPr>
        <w:t xml:space="preserve"> (‘Alternative A’)</w:t>
      </w:r>
      <w:r w:rsidR="00A30DFF">
        <w:rPr>
          <w:rFonts w:ascii="Bookman Old Style" w:hAnsi="Bookman Old Style"/>
          <w:sz w:val="18"/>
        </w:rPr>
        <w:t xml:space="preserve">: in any insolvency proceeding, </w:t>
      </w:r>
      <w:r w:rsidR="00057355">
        <w:rPr>
          <w:rFonts w:ascii="Bookman Old Style" w:hAnsi="Bookman Old Style"/>
          <w:sz w:val="18"/>
        </w:rPr>
        <w:t xml:space="preserve">CTC </w:t>
      </w:r>
      <w:r w:rsidR="00A30DFF">
        <w:rPr>
          <w:rFonts w:ascii="Bookman Old Style" w:hAnsi="Bookman Old Style"/>
          <w:sz w:val="18"/>
        </w:rPr>
        <w:t xml:space="preserve">creditors may not be prevented from enforcing remedies for a period longer than the waiting period declared by </w:t>
      </w:r>
      <w:r w:rsidR="00FF2047">
        <w:rPr>
          <w:rFonts w:ascii="Bookman Old Style" w:hAnsi="Bookman Old Style"/>
          <w:sz w:val="18"/>
        </w:rPr>
        <w:t xml:space="preserve">[insert country] </w:t>
      </w:r>
      <w:r w:rsidR="00E5016C">
        <w:rPr>
          <w:rFonts w:ascii="Bookman Old Style" w:hAnsi="Bookman Old Style"/>
          <w:sz w:val="18"/>
        </w:rPr>
        <w:t xml:space="preserve">(being </w:t>
      </w:r>
      <w:r w:rsidR="00FF2047">
        <w:rPr>
          <w:rFonts w:ascii="Bookman Old Style" w:hAnsi="Bookman Old Style"/>
          <w:sz w:val="18"/>
        </w:rPr>
        <w:t>[</w:t>
      </w:r>
      <w:r w:rsidR="00F270D3">
        <w:rPr>
          <w:rFonts w:ascii="Bookman Old Style" w:hAnsi="Bookman Old Style"/>
          <w:sz w:val="18"/>
        </w:rPr>
        <w:t>6</w:t>
      </w:r>
      <w:r w:rsidR="00E5016C">
        <w:rPr>
          <w:rFonts w:ascii="Bookman Old Style" w:hAnsi="Bookman Old Style"/>
          <w:sz w:val="18"/>
        </w:rPr>
        <w:t>0</w:t>
      </w:r>
      <w:r w:rsidR="00FF2047">
        <w:rPr>
          <w:rFonts w:ascii="Bookman Old Style" w:hAnsi="Bookman Old Style"/>
          <w:sz w:val="18"/>
        </w:rPr>
        <w:t xml:space="preserve">] [30] </w:t>
      </w:r>
      <w:r w:rsidR="00E5016C">
        <w:rPr>
          <w:rFonts w:ascii="Bookman Old Style" w:hAnsi="Bookman Old Style"/>
          <w:sz w:val="18"/>
        </w:rPr>
        <w:t>calendar days)</w:t>
      </w:r>
      <w:r w:rsidR="00A30DFF">
        <w:rPr>
          <w:rFonts w:ascii="Bookman Old Style" w:hAnsi="Bookman Old Style"/>
          <w:sz w:val="18"/>
        </w:rPr>
        <w:t>.</w:t>
      </w:r>
      <w:r w:rsidR="00057355">
        <w:rPr>
          <w:rFonts w:ascii="Bookman Old Style" w:hAnsi="Bookman Old Style"/>
          <w:sz w:val="18"/>
        </w:rPr>
        <w:t xml:space="preserve">  After the lapse of such </w:t>
      </w:r>
      <w:r w:rsidR="00FF2047">
        <w:rPr>
          <w:rFonts w:ascii="Bookman Old Style" w:hAnsi="Bookman Old Style"/>
          <w:sz w:val="18"/>
        </w:rPr>
        <w:lastRenderedPageBreak/>
        <w:t>[</w:t>
      </w:r>
      <w:r w:rsidR="000343BD">
        <w:rPr>
          <w:rFonts w:ascii="Bookman Old Style" w:hAnsi="Bookman Old Style"/>
          <w:sz w:val="18"/>
        </w:rPr>
        <w:t>6</w:t>
      </w:r>
      <w:r w:rsidR="001F7157">
        <w:rPr>
          <w:rFonts w:ascii="Bookman Old Style" w:hAnsi="Bookman Old Style"/>
          <w:sz w:val="18"/>
        </w:rPr>
        <w:t>0</w:t>
      </w:r>
      <w:r w:rsidR="00FF2047">
        <w:rPr>
          <w:rFonts w:ascii="Bookman Old Style" w:hAnsi="Bookman Old Style"/>
          <w:sz w:val="18"/>
        </w:rPr>
        <w:t>] [30]</w:t>
      </w:r>
      <w:r w:rsidR="001F7157">
        <w:rPr>
          <w:rFonts w:ascii="Bookman Old Style" w:hAnsi="Bookman Old Style"/>
          <w:sz w:val="18"/>
        </w:rPr>
        <w:t xml:space="preserve">-day </w:t>
      </w:r>
      <w:r w:rsidR="00057355">
        <w:rPr>
          <w:rFonts w:ascii="Bookman Old Style" w:hAnsi="Bookman Old Style"/>
          <w:sz w:val="18"/>
        </w:rPr>
        <w:t xml:space="preserve">waiting period, remedies must be made available to CTC </w:t>
      </w:r>
      <w:r w:rsidR="006F2515">
        <w:rPr>
          <w:rFonts w:ascii="Bookman Old Style" w:hAnsi="Bookman Old Style"/>
          <w:b/>
          <w:noProof/>
          <w:sz w:val="18"/>
        </w:rPr>
        <w:drawing>
          <wp:anchor distT="0" distB="0" distL="114300" distR="114300" simplePos="0" relativeHeight="251660288" behindDoc="0" locked="0" layoutInCell="1" allowOverlap="1" wp14:anchorId="1B3DBF05" wp14:editId="3D60CF59">
            <wp:simplePos x="0" y="0"/>
            <wp:positionH relativeFrom="margin">
              <wp:posOffset>-236220</wp:posOffset>
            </wp:positionH>
            <wp:positionV relativeFrom="paragraph">
              <wp:posOffset>-762000</wp:posOffset>
            </wp:positionV>
            <wp:extent cx="1290917" cy="641616"/>
            <wp:effectExtent l="0" t="0" r="5080" b="6350"/>
            <wp:wrapNone/>
            <wp:docPr id="480292137"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403329" name="Imagen 1" descr="Diagram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0917" cy="641616"/>
                    </a:xfrm>
                    <a:prstGeom prst="rect">
                      <a:avLst/>
                    </a:prstGeom>
                    <a:noFill/>
                  </pic:spPr>
                </pic:pic>
              </a:graphicData>
            </a:graphic>
            <wp14:sizeRelH relativeFrom="margin">
              <wp14:pctWidth>0</wp14:pctWidth>
            </wp14:sizeRelH>
            <wp14:sizeRelV relativeFrom="margin">
              <wp14:pctHeight>0</wp14:pctHeight>
            </wp14:sizeRelV>
          </wp:anchor>
        </w:drawing>
      </w:r>
      <w:r w:rsidR="00057355">
        <w:rPr>
          <w:rFonts w:ascii="Bookman Old Style" w:hAnsi="Bookman Old Style"/>
          <w:sz w:val="18"/>
        </w:rPr>
        <w:t>creditors.</w:t>
      </w:r>
      <w:r w:rsidR="00135A95">
        <w:rPr>
          <w:rFonts w:ascii="Bookman Old Style" w:hAnsi="Bookman Old Style"/>
          <w:sz w:val="18"/>
        </w:rPr>
        <w:t xml:space="preserve"> </w:t>
      </w:r>
      <w:r w:rsidR="00FC4F97" w:rsidRPr="00135A95">
        <w:rPr>
          <w:rFonts w:ascii="Bookman Old Style" w:hAnsi="Bookman Old Style"/>
          <w:sz w:val="18"/>
        </w:rPr>
        <w:t xml:space="preserve">No </w:t>
      </w:r>
      <w:r w:rsidR="007E39B1" w:rsidRPr="00135A95">
        <w:rPr>
          <w:rFonts w:ascii="Bookman Old Style" w:hAnsi="Bookman Old Style"/>
          <w:sz w:val="18"/>
        </w:rPr>
        <w:t>cure or work-out periods that extend beyond such timetables</w:t>
      </w:r>
      <w:r w:rsidR="00FC4F97" w:rsidRPr="00135A95">
        <w:rPr>
          <w:rFonts w:ascii="Bookman Old Style" w:hAnsi="Bookman Old Style"/>
          <w:sz w:val="18"/>
        </w:rPr>
        <w:t xml:space="preserve"> may be imposed.</w:t>
      </w:r>
    </w:p>
    <w:p w14:paraId="3F00BE30" w14:textId="77777777" w:rsidR="004B7F53" w:rsidRPr="004B7F53" w:rsidRDefault="004B7F53" w:rsidP="00E47089">
      <w:pPr>
        <w:spacing w:after="0"/>
        <w:jc w:val="both"/>
        <w:rPr>
          <w:rFonts w:ascii="Bookman Old Style" w:hAnsi="Bookman Old Style"/>
          <w:sz w:val="18"/>
        </w:rPr>
      </w:pPr>
    </w:p>
    <w:p w14:paraId="1F749AF0" w14:textId="3D107ACB" w:rsidR="007904CC" w:rsidRDefault="007904CC" w:rsidP="00E47089">
      <w:pPr>
        <w:pStyle w:val="Prrafodelista"/>
        <w:numPr>
          <w:ilvl w:val="0"/>
          <w:numId w:val="1"/>
        </w:numPr>
        <w:spacing w:after="0"/>
        <w:jc w:val="both"/>
        <w:rPr>
          <w:rFonts w:ascii="Bookman Old Style" w:hAnsi="Bookman Old Style"/>
          <w:sz w:val="18"/>
        </w:rPr>
      </w:pPr>
      <w:r>
        <w:rPr>
          <w:rFonts w:ascii="Bookman Old Style" w:hAnsi="Bookman Old Style"/>
          <w:sz w:val="18"/>
        </w:rPr>
        <w:t>Courts and tribunals are d</w:t>
      </w:r>
      <w:r w:rsidR="000343BD">
        <w:rPr>
          <w:rFonts w:ascii="Bookman Old Style" w:hAnsi="Bookman Old Style"/>
          <w:sz w:val="18"/>
        </w:rPr>
        <w:t xml:space="preserve">irected to give full effect to Alternative A in all insolvency proceedings with </w:t>
      </w:r>
      <w:r w:rsidR="00943AC8">
        <w:rPr>
          <w:rFonts w:ascii="Bookman Old Style" w:hAnsi="Bookman Old Style"/>
          <w:sz w:val="18"/>
        </w:rPr>
        <w:t xml:space="preserve">affected </w:t>
      </w:r>
      <w:r w:rsidR="000343BD">
        <w:rPr>
          <w:rFonts w:ascii="Bookman Old Style" w:hAnsi="Bookman Old Style"/>
          <w:sz w:val="18"/>
        </w:rPr>
        <w:t xml:space="preserve">CTC creditors.  In addition to the waiting period noted in paragraph 4(ii) above, Alternative A </w:t>
      </w:r>
      <w:r w:rsidR="00754D19">
        <w:rPr>
          <w:rFonts w:ascii="Bookman Old Style" w:hAnsi="Bookman Old Style"/>
          <w:sz w:val="18"/>
        </w:rPr>
        <w:t>(</w:t>
      </w:r>
      <w:proofErr w:type="spellStart"/>
      <w:r w:rsidR="00754D19">
        <w:rPr>
          <w:rFonts w:ascii="Bookman Old Style" w:hAnsi="Bookman Old Style"/>
          <w:sz w:val="18"/>
        </w:rPr>
        <w:t>i</w:t>
      </w:r>
      <w:proofErr w:type="spellEnd"/>
      <w:r w:rsidR="00754D19">
        <w:rPr>
          <w:rFonts w:ascii="Bookman Old Style" w:hAnsi="Bookman Old Style"/>
          <w:sz w:val="18"/>
        </w:rPr>
        <w:t>) imposes</w:t>
      </w:r>
      <w:r w:rsidR="000343BD">
        <w:rPr>
          <w:rFonts w:ascii="Bookman Old Style" w:hAnsi="Bookman Old Style"/>
          <w:sz w:val="18"/>
        </w:rPr>
        <w:t xml:space="preserve"> an obligation on the insolvent debtor to maintain aircraft objects</w:t>
      </w:r>
      <w:r w:rsidR="004260C0">
        <w:rPr>
          <w:rFonts w:ascii="Bookman Old Style" w:hAnsi="Bookman Old Style"/>
          <w:sz w:val="18"/>
        </w:rPr>
        <w:t xml:space="preserve"> in its possession </w:t>
      </w:r>
      <w:r w:rsidR="00990882">
        <w:rPr>
          <w:rFonts w:ascii="Bookman Old Style" w:hAnsi="Bookman Old Style"/>
          <w:sz w:val="18"/>
        </w:rPr>
        <w:t>in accordance with the underlying lease or financing agreement</w:t>
      </w:r>
      <w:r w:rsidR="00754D19">
        <w:rPr>
          <w:rFonts w:ascii="Bookman Old Style" w:hAnsi="Bookman Old Style"/>
          <w:sz w:val="18"/>
        </w:rPr>
        <w:t xml:space="preserve">, and (ii) </w:t>
      </w:r>
      <w:r w:rsidR="000343BD">
        <w:rPr>
          <w:rFonts w:ascii="Bookman Old Style" w:hAnsi="Bookman Old Style"/>
          <w:sz w:val="18"/>
        </w:rPr>
        <w:t xml:space="preserve">prohibits the modification of the terms of any </w:t>
      </w:r>
      <w:r w:rsidR="00F61C91">
        <w:rPr>
          <w:rFonts w:ascii="Bookman Old Style" w:hAnsi="Bookman Old Style"/>
          <w:sz w:val="18"/>
        </w:rPr>
        <w:t>debtor obligations</w:t>
      </w:r>
      <w:r w:rsidR="000343BD">
        <w:rPr>
          <w:rFonts w:ascii="Bookman Old Style" w:hAnsi="Bookman Old Style"/>
          <w:sz w:val="18"/>
        </w:rPr>
        <w:t xml:space="preserve"> without the consent of the affected CTC creditor, </w:t>
      </w:r>
      <w:r w:rsidR="00344532">
        <w:rPr>
          <w:rFonts w:ascii="Bookman Old Style" w:hAnsi="Bookman Old Style"/>
          <w:sz w:val="18"/>
        </w:rPr>
        <w:t>including</w:t>
      </w:r>
      <w:r w:rsidR="000343BD">
        <w:rPr>
          <w:rFonts w:ascii="Bookman Old Style" w:hAnsi="Bookman Old Style"/>
          <w:sz w:val="18"/>
        </w:rPr>
        <w:t xml:space="preserve"> the </w:t>
      </w:r>
      <w:r w:rsidR="00F61C91">
        <w:rPr>
          <w:rFonts w:ascii="Bookman Old Style" w:hAnsi="Bookman Old Style"/>
          <w:sz w:val="18"/>
        </w:rPr>
        <w:t xml:space="preserve">binding </w:t>
      </w:r>
      <w:r w:rsidR="000343BD">
        <w:rPr>
          <w:rFonts w:ascii="Bookman Old Style" w:hAnsi="Bookman Old Style"/>
          <w:sz w:val="18"/>
        </w:rPr>
        <w:t>application of any work</w:t>
      </w:r>
      <w:r w:rsidR="00F61C91">
        <w:rPr>
          <w:rFonts w:ascii="Bookman Old Style" w:hAnsi="Bookman Old Style"/>
          <w:sz w:val="18"/>
        </w:rPr>
        <w:t>-</w:t>
      </w:r>
      <w:r w:rsidR="000343BD">
        <w:rPr>
          <w:rFonts w:ascii="Bookman Old Style" w:hAnsi="Bookman Old Style"/>
          <w:sz w:val="18"/>
        </w:rPr>
        <w:t>out or restructuring plan to non-consenting CTC creditors.</w:t>
      </w:r>
    </w:p>
    <w:p w14:paraId="47987D9B" w14:textId="36AC57B1" w:rsidR="007904CC" w:rsidRPr="00AC0050" w:rsidRDefault="007904CC" w:rsidP="00AC0050">
      <w:pPr>
        <w:spacing w:after="0"/>
        <w:jc w:val="both"/>
        <w:rPr>
          <w:rFonts w:ascii="Bookman Old Style" w:hAnsi="Bookman Old Style"/>
          <w:sz w:val="18"/>
        </w:rPr>
      </w:pPr>
    </w:p>
    <w:p w14:paraId="1A8D1639" w14:textId="55EBF06E" w:rsidR="007E39B1" w:rsidRDefault="003D704C" w:rsidP="00E47089">
      <w:pPr>
        <w:pStyle w:val="Prrafodelista"/>
        <w:numPr>
          <w:ilvl w:val="0"/>
          <w:numId w:val="1"/>
        </w:numPr>
        <w:spacing w:after="0"/>
        <w:jc w:val="both"/>
        <w:rPr>
          <w:rFonts w:ascii="Bookman Old Style" w:hAnsi="Bookman Old Style"/>
          <w:sz w:val="18"/>
        </w:rPr>
      </w:pPr>
      <w:r>
        <w:rPr>
          <w:rFonts w:ascii="Bookman Old Style" w:hAnsi="Bookman Old Style"/>
          <w:sz w:val="18"/>
        </w:rPr>
        <w:t xml:space="preserve">Courts and tribunals are directed to recognize </w:t>
      </w:r>
      <w:r w:rsidR="009C4D9E">
        <w:rPr>
          <w:rFonts w:ascii="Bookman Old Style" w:hAnsi="Bookman Old Style"/>
          <w:sz w:val="18"/>
        </w:rPr>
        <w:t xml:space="preserve">and give effect to the jurisdiction provisions under Chapter XII of the Convention.  </w:t>
      </w:r>
      <w:r w:rsidR="005362A6">
        <w:rPr>
          <w:rFonts w:ascii="Bookman Old Style" w:hAnsi="Bookman Old Style"/>
          <w:sz w:val="18"/>
        </w:rPr>
        <w:t>C</w:t>
      </w:r>
      <w:r w:rsidR="009C4D9E">
        <w:rPr>
          <w:rFonts w:ascii="Bookman Old Style" w:hAnsi="Bookman Old Style"/>
          <w:sz w:val="18"/>
        </w:rPr>
        <w:t xml:space="preserve">ourts may not assume jurisdiction, other than pursuant to Article 43 to grant Article 13 remedies, where the exclusive jurisdiction </w:t>
      </w:r>
      <w:r w:rsidR="005362A6">
        <w:rPr>
          <w:rFonts w:ascii="Bookman Old Style" w:hAnsi="Bookman Old Style"/>
          <w:sz w:val="18"/>
        </w:rPr>
        <w:t xml:space="preserve">and forum choice </w:t>
      </w:r>
      <w:r w:rsidR="009C4D9E">
        <w:rPr>
          <w:rFonts w:ascii="Bookman Old Style" w:hAnsi="Bookman Old Style"/>
          <w:sz w:val="18"/>
        </w:rPr>
        <w:t xml:space="preserve">provided for by the agreement </w:t>
      </w:r>
      <w:r w:rsidR="00346270">
        <w:rPr>
          <w:rFonts w:ascii="Bookman Old Style" w:hAnsi="Bookman Old Style"/>
          <w:sz w:val="18"/>
        </w:rPr>
        <w:t>are</w:t>
      </w:r>
      <w:r w:rsidR="009C4D9E">
        <w:rPr>
          <w:rFonts w:ascii="Bookman Old Style" w:hAnsi="Bookman Old Style"/>
          <w:sz w:val="18"/>
        </w:rPr>
        <w:t xml:space="preserve"> not </w:t>
      </w:r>
      <w:r w:rsidR="005362A6">
        <w:rPr>
          <w:rFonts w:ascii="Bookman Old Style" w:hAnsi="Bookman Old Style"/>
          <w:sz w:val="18"/>
        </w:rPr>
        <w:t>the</w:t>
      </w:r>
      <w:r w:rsidR="009C4D9E">
        <w:rPr>
          <w:rFonts w:ascii="Bookman Old Style" w:hAnsi="Bookman Old Style"/>
          <w:sz w:val="18"/>
        </w:rPr>
        <w:t xml:space="preserve"> courts</w:t>
      </w:r>
      <w:r w:rsidR="005362A6">
        <w:rPr>
          <w:rFonts w:ascii="Bookman Old Style" w:hAnsi="Bookman Old Style"/>
          <w:sz w:val="18"/>
        </w:rPr>
        <w:t xml:space="preserve"> of </w:t>
      </w:r>
      <w:r w:rsidR="00D53332">
        <w:rPr>
          <w:rFonts w:ascii="Bookman Old Style" w:hAnsi="Bookman Old Style"/>
          <w:sz w:val="18"/>
        </w:rPr>
        <w:t>[</w:t>
      </w:r>
      <w:r w:rsidR="00D53332" w:rsidRPr="007059A3">
        <w:rPr>
          <w:rFonts w:ascii="Bookman Old Style" w:hAnsi="Bookman Old Style"/>
          <w:color w:val="FFC000"/>
          <w:sz w:val="18"/>
        </w:rPr>
        <w:t>insert country</w:t>
      </w:r>
      <w:r w:rsidR="00D53332">
        <w:rPr>
          <w:rFonts w:ascii="Bookman Old Style" w:hAnsi="Bookman Old Style"/>
          <w:sz w:val="18"/>
        </w:rPr>
        <w:t>]</w:t>
      </w:r>
      <w:r w:rsidR="009C4D9E">
        <w:rPr>
          <w:rFonts w:ascii="Bookman Old Style" w:hAnsi="Bookman Old Style"/>
          <w:sz w:val="18"/>
        </w:rPr>
        <w:t xml:space="preserve">.  </w:t>
      </w:r>
    </w:p>
    <w:p w14:paraId="088AF993" w14:textId="77777777" w:rsidR="007904CC" w:rsidRPr="00AC0050" w:rsidRDefault="007904CC" w:rsidP="00AC0050">
      <w:pPr>
        <w:pStyle w:val="Prrafodelista"/>
        <w:rPr>
          <w:rFonts w:ascii="Bookman Old Style" w:hAnsi="Bookman Old Style"/>
          <w:sz w:val="18"/>
        </w:rPr>
      </w:pPr>
    </w:p>
    <w:p w14:paraId="52B518F3" w14:textId="1A6C603A" w:rsidR="007904CC" w:rsidRPr="00AC0050" w:rsidRDefault="007904CC" w:rsidP="007904CC">
      <w:pPr>
        <w:pStyle w:val="Prrafodelista"/>
        <w:numPr>
          <w:ilvl w:val="0"/>
          <w:numId w:val="1"/>
        </w:numPr>
        <w:spacing w:after="0"/>
        <w:jc w:val="both"/>
        <w:rPr>
          <w:rFonts w:ascii="Bookman Old Style" w:hAnsi="Bookman Old Style"/>
          <w:sz w:val="18"/>
        </w:rPr>
      </w:pPr>
      <w:r>
        <w:rPr>
          <w:rFonts w:ascii="Bookman Old Style" w:hAnsi="Bookman Old Style"/>
          <w:sz w:val="18"/>
        </w:rPr>
        <w:t xml:space="preserve">Court and tribunals are directed to recognize and give effect to </w:t>
      </w:r>
      <w:r w:rsidR="00E45B16">
        <w:rPr>
          <w:rFonts w:ascii="Bookman Old Style" w:hAnsi="Bookman Old Style"/>
          <w:sz w:val="18"/>
        </w:rPr>
        <w:t>the rights and duties adjudicated by a f</w:t>
      </w:r>
      <w:r>
        <w:rPr>
          <w:rFonts w:ascii="Bookman Old Style" w:hAnsi="Bookman Old Style"/>
          <w:sz w:val="18"/>
        </w:rPr>
        <w:t xml:space="preserve">oreign court where such foreign courts have jurisdiction </w:t>
      </w:r>
      <w:r w:rsidR="00C87CEF">
        <w:rPr>
          <w:rFonts w:ascii="Bookman Old Style" w:hAnsi="Bookman Old Style"/>
          <w:sz w:val="18"/>
        </w:rPr>
        <w:t xml:space="preserve">under CTC </w:t>
      </w:r>
      <w:r w:rsidR="00E45B16">
        <w:rPr>
          <w:rFonts w:ascii="Bookman Old Style" w:hAnsi="Bookman Old Style"/>
          <w:sz w:val="18"/>
        </w:rPr>
        <w:t xml:space="preserve">and, in the case of recognition, such </w:t>
      </w:r>
      <w:r w:rsidR="00BE13E6">
        <w:rPr>
          <w:rFonts w:ascii="Bookman Old Style" w:hAnsi="Bookman Old Style"/>
          <w:sz w:val="18"/>
        </w:rPr>
        <w:t>adjudicated</w:t>
      </w:r>
      <w:r w:rsidR="00E45B16">
        <w:rPr>
          <w:rFonts w:ascii="Bookman Old Style" w:hAnsi="Bookman Old Style"/>
          <w:sz w:val="18"/>
        </w:rPr>
        <w:t xml:space="preserve"> rights have operative legal effect, and, in the case of giving effect, such </w:t>
      </w:r>
      <w:r w:rsidR="00BE13E6">
        <w:rPr>
          <w:rFonts w:ascii="Bookman Old Style" w:hAnsi="Bookman Old Style"/>
          <w:sz w:val="18"/>
        </w:rPr>
        <w:t>adjudicated</w:t>
      </w:r>
      <w:r w:rsidR="00E45B16">
        <w:rPr>
          <w:rFonts w:ascii="Bookman Old Style" w:hAnsi="Bookman Old Style"/>
          <w:sz w:val="18"/>
        </w:rPr>
        <w:t xml:space="preserve"> rights are enforceable, under the laws applicable to such foreign court</w:t>
      </w:r>
      <w:r>
        <w:rPr>
          <w:rFonts w:ascii="Bookman Old Style" w:hAnsi="Bookman Old Style"/>
          <w:sz w:val="18"/>
        </w:rPr>
        <w:t>.</w:t>
      </w:r>
      <w:r w:rsidR="007E6CD6">
        <w:rPr>
          <w:rFonts w:ascii="Bookman Old Style" w:hAnsi="Bookman Old Style"/>
          <w:sz w:val="18"/>
        </w:rPr>
        <w:t xml:space="preserve"> The </w:t>
      </w:r>
      <w:proofErr w:type="gramStart"/>
      <w:r w:rsidR="007E6CD6">
        <w:rPr>
          <w:rFonts w:ascii="Bookman Old Style" w:hAnsi="Bookman Old Style"/>
          <w:sz w:val="18"/>
        </w:rPr>
        <w:t>time period</w:t>
      </w:r>
      <w:proofErr w:type="gramEnd"/>
      <w:r w:rsidR="007E6CD6">
        <w:rPr>
          <w:rFonts w:ascii="Bookman Old Style" w:hAnsi="Bookman Old Style"/>
          <w:sz w:val="18"/>
        </w:rPr>
        <w:t xml:space="preserve"> for the foregoing shall be within [10] calendar days of the foreign court order setting out the adjudicated rights being lodged with the relevant court or tribunal.</w:t>
      </w:r>
      <w:r w:rsidR="006F2515">
        <w:rPr>
          <w:rFonts w:ascii="Bookman Old Style" w:hAnsi="Bookman Old Style"/>
          <w:sz w:val="18"/>
        </w:rPr>
        <w:t xml:space="preserve"> </w:t>
      </w:r>
      <w:r w:rsidR="006F2515">
        <w:rPr>
          <w:rStyle w:val="Refdenotaalfinal"/>
          <w:rFonts w:ascii="Bookman Old Style" w:hAnsi="Bookman Old Style"/>
          <w:sz w:val="18"/>
        </w:rPr>
        <w:endnoteReference w:id="1"/>
      </w:r>
      <w:r w:rsidR="007E6CD6">
        <w:rPr>
          <w:rFonts w:ascii="Bookman Old Style" w:hAnsi="Bookman Old Style"/>
          <w:sz w:val="18"/>
        </w:rPr>
        <w:t>***</w:t>
      </w:r>
    </w:p>
    <w:p w14:paraId="319A59EE" w14:textId="77777777" w:rsidR="004B7F53" w:rsidRPr="004B7F53" w:rsidRDefault="004B7F53" w:rsidP="00E47089">
      <w:pPr>
        <w:spacing w:after="0"/>
        <w:jc w:val="both"/>
        <w:rPr>
          <w:rFonts w:ascii="Bookman Old Style" w:hAnsi="Bookman Old Style"/>
          <w:sz w:val="18"/>
        </w:rPr>
      </w:pPr>
    </w:p>
    <w:p w14:paraId="7B9FB75E" w14:textId="4E9A833E" w:rsidR="008B1057" w:rsidRDefault="000F643B" w:rsidP="00E47089">
      <w:pPr>
        <w:pStyle w:val="Prrafodelista"/>
        <w:numPr>
          <w:ilvl w:val="0"/>
          <w:numId w:val="1"/>
        </w:numPr>
        <w:spacing w:after="0"/>
        <w:jc w:val="both"/>
        <w:rPr>
          <w:rFonts w:ascii="Bookman Old Style" w:hAnsi="Bookman Old Style"/>
          <w:sz w:val="18"/>
        </w:rPr>
      </w:pPr>
      <w:r>
        <w:rPr>
          <w:rFonts w:ascii="Bookman Old Style" w:hAnsi="Bookman Old Style"/>
          <w:sz w:val="18"/>
        </w:rPr>
        <w:t>P</w:t>
      </w:r>
      <w:r w:rsidR="007E39B1" w:rsidRPr="00CE3E5E">
        <w:rPr>
          <w:rFonts w:ascii="Bookman Old Style" w:hAnsi="Bookman Old Style"/>
          <w:sz w:val="18"/>
        </w:rPr>
        <w:t>rotective orders or procedural requirements</w:t>
      </w:r>
      <w:r w:rsidR="00F51785">
        <w:rPr>
          <w:rFonts w:ascii="Bookman Old Style" w:hAnsi="Bookman Old Style"/>
          <w:sz w:val="18"/>
        </w:rPr>
        <w:t xml:space="preserve"> that conflict with CTC may not be imposed.  Pr</w:t>
      </w:r>
      <w:r w:rsidR="007E39B1" w:rsidRPr="00CE3E5E">
        <w:rPr>
          <w:rFonts w:ascii="Bookman Old Style" w:hAnsi="Bookman Old Style"/>
          <w:sz w:val="18"/>
        </w:rPr>
        <w:t>ocedural requirements that do not directly conflict</w:t>
      </w:r>
      <w:r w:rsidR="00F51785">
        <w:rPr>
          <w:rFonts w:ascii="Bookman Old Style" w:hAnsi="Bookman Old Style"/>
          <w:sz w:val="18"/>
        </w:rPr>
        <w:t xml:space="preserve"> with CTC</w:t>
      </w:r>
      <w:r w:rsidR="007E39B1" w:rsidRPr="00CE3E5E">
        <w:rPr>
          <w:rFonts w:ascii="Bookman Old Style" w:hAnsi="Bookman Old Style"/>
          <w:sz w:val="18"/>
        </w:rPr>
        <w:t xml:space="preserve"> </w:t>
      </w:r>
      <w:r w:rsidR="00F51785">
        <w:rPr>
          <w:rFonts w:ascii="Bookman Old Style" w:hAnsi="Bookman Old Style"/>
          <w:sz w:val="18"/>
        </w:rPr>
        <w:t xml:space="preserve">are permitted but </w:t>
      </w:r>
      <w:r w:rsidR="007E39B1" w:rsidRPr="00CE3E5E">
        <w:rPr>
          <w:rFonts w:ascii="Bookman Old Style" w:hAnsi="Bookman Old Style"/>
          <w:sz w:val="18"/>
        </w:rPr>
        <w:t>may not undermine</w:t>
      </w:r>
      <w:r w:rsidR="00F51785">
        <w:rPr>
          <w:rFonts w:ascii="Bookman Old Style" w:hAnsi="Bookman Old Style"/>
          <w:sz w:val="18"/>
        </w:rPr>
        <w:t xml:space="preserve"> or delay</w:t>
      </w:r>
      <w:r w:rsidR="007E39B1" w:rsidRPr="00CE3E5E">
        <w:rPr>
          <w:rFonts w:ascii="Bookman Old Style" w:hAnsi="Bookman Old Style"/>
          <w:sz w:val="18"/>
        </w:rPr>
        <w:t xml:space="preserve"> </w:t>
      </w:r>
      <w:r w:rsidR="00F51785">
        <w:rPr>
          <w:rFonts w:ascii="Bookman Old Style" w:hAnsi="Bookman Old Style"/>
          <w:sz w:val="18"/>
        </w:rPr>
        <w:t>CTC</w:t>
      </w:r>
      <w:r w:rsidR="007E39B1" w:rsidRPr="00CE3E5E">
        <w:rPr>
          <w:rFonts w:ascii="Bookman Old Style" w:hAnsi="Bookman Old Style"/>
          <w:sz w:val="18"/>
        </w:rPr>
        <w:t xml:space="preserve"> remedies</w:t>
      </w:r>
      <w:r w:rsidR="00F51785">
        <w:rPr>
          <w:rFonts w:ascii="Bookman Old Style" w:hAnsi="Bookman Old Style"/>
          <w:sz w:val="18"/>
        </w:rPr>
        <w:t>.</w:t>
      </w:r>
    </w:p>
    <w:p w14:paraId="1ED12AFC" w14:textId="77777777" w:rsidR="00A149BA" w:rsidRDefault="00A149BA" w:rsidP="00A149BA">
      <w:pPr>
        <w:pStyle w:val="Prrafodelista"/>
        <w:rPr>
          <w:rFonts w:ascii="Bookman Old Style" w:hAnsi="Bookman Old Style"/>
          <w:sz w:val="16"/>
          <w:szCs w:val="16"/>
        </w:rPr>
      </w:pPr>
    </w:p>
    <w:p w14:paraId="528D93CE" w14:textId="77777777" w:rsidR="006F2515" w:rsidRDefault="006F2515" w:rsidP="00A149BA">
      <w:pPr>
        <w:pStyle w:val="Prrafodelista"/>
        <w:rPr>
          <w:rFonts w:ascii="Bookman Old Style" w:hAnsi="Bookman Old Style"/>
          <w:sz w:val="16"/>
          <w:szCs w:val="16"/>
        </w:rPr>
      </w:pPr>
    </w:p>
    <w:p w14:paraId="41CA970A" w14:textId="77777777" w:rsidR="006F2515" w:rsidRDefault="006F2515" w:rsidP="00A149BA">
      <w:pPr>
        <w:pStyle w:val="Prrafodelista"/>
        <w:rPr>
          <w:rFonts w:ascii="Bookman Old Style" w:hAnsi="Bookman Old Style"/>
          <w:sz w:val="16"/>
          <w:szCs w:val="16"/>
        </w:rPr>
      </w:pPr>
    </w:p>
    <w:p w14:paraId="6927286C" w14:textId="77777777" w:rsidR="006F2515" w:rsidRDefault="006F2515" w:rsidP="00A149BA">
      <w:pPr>
        <w:pStyle w:val="Prrafodelista"/>
        <w:rPr>
          <w:rFonts w:ascii="Bookman Old Style" w:hAnsi="Bookman Old Style"/>
          <w:sz w:val="16"/>
          <w:szCs w:val="16"/>
        </w:rPr>
      </w:pPr>
    </w:p>
    <w:p w14:paraId="4F17E127" w14:textId="77777777" w:rsidR="006F2515" w:rsidRDefault="006F2515" w:rsidP="00A149BA">
      <w:pPr>
        <w:pStyle w:val="Prrafodelista"/>
        <w:rPr>
          <w:rFonts w:ascii="Bookman Old Style" w:hAnsi="Bookman Old Style"/>
          <w:sz w:val="16"/>
          <w:szCs w:val="16"/>
        </w:rPr>
      </w:pPr>
    </w:p>
    <w:p w14:paraId="062F0BD7" w14:textId="77777777" w:rsidR="006F2515" w:rsidRDefault="006F2515" w:rsidP="00A149BA">
      <w:pPr>
        <w:pStyle w:val="Prrafodelista"/>
        <w:rPr>
          <w:rFonts w:ascii="Bookman Old Style" w:hAnsi="Bookman Old Style"/>
          <w:sz w:val="16"/>
          <w:szCs w:val="16"/>
        </w:rPr>
      </w:pPr>
    </w:p>
    <w:p w14:paraId="71621C6B" w14:textId="77777777" w:rsidR="006F2515" w:rsidRDefault="006F2515" w:rsidP="00A149BA">
      <w:pPr>
        <w:pStyle w:val="Prrafodelista"/>
        <w:rPr>
          <w:rFonts w:ascii="Bookman Old Style" w:hAnsi="Bookman Old Style"/>
          <w:sz w:val="16"/>
          <w:szCs w:val="16"/>
        </w:rPr>
      </w:pPr>
    </w:p>
    <w:p w14:paraId="42BE26FC" w14:textId="77777777" w:rsidR="006F2515" w:rsidRDefault="006F2515" w:rsidP="00A149BA">
      <w:pPr>
        <w:pStyle w:val="Prrafodelista"/>
        <w:rPr>
          <w:rFonts w:ascii="Bookman Old Style" w:hAnsi="Bookman Old Style"/>
          <w:sz w:val="16"/>
          <w:szCs w:val="16"/>
        </w:rPr>
      </w:pPr>
    </w:p>
    <w:p w14:paraId="7723871C" w14:textId="77777777" w:rsidR="006F2515" w:rsidRDefault="006F2515" w:rsidP="00A149BA">
      <w:pPr>
        <w:pStyle w:val="Prrafodelista"/>
        <w:rPr>
          <w:rFonts w:ascii="Bookman Old Style" w:hAnsi="Bookman Old Style"/>
          <w:sz w:val="16"/>
          <w:szCs w:val="16"/>
        </w:rPr>
      </w:pPr>
    </w:p>
    <w:p w14:paraId="104C41AC" w14:textId="77777777" w:rsidR="006F2515" w:rsidRDefault="006F2515" w:rsidP="00A149BA">
      <w:pPr>
        <w:pStyle w:val="Prrafodelista"/>
        <w:rPr>
          <w:rFonts w:ascii="Bookman Old Style" w:hAnsi="Bookman Old Style"/>
          <w:sz w:val="16"/>
          <w:szCs w:val="16"/>
        </w:rPr>
      </w:pPr>
    </w:p>
    <w:p w14:paraId="1AD02D56" w14:textId="77777777" w:rsidR="006F2515" w:rsidRDefault="006F2515" w:rsidP="00A149BA">
      <w:pPr>
        <w:pStyle w:val="Prrafodelista"/>
        <w:rPr>
          <w:rFonts w:ascii="Bookman Old Style" w:hAnsi="Bookman Old Style"/>
          <w:sz w:val="16"/>
          <w:szCs w:val="16"/>
        </w:rPr>
      </w:pPr>
    </w:p>
    <w:p w14:paraId="7583B4BA" w14:textId="77777777" w:rsidR="006F2515" w:rsidRDefault="006F2515" w:rsidP="00A149BA">
      <w:pPr>
        <w:pStyle w:val="Prrafodelista"/>
        <w:rPr>
          <w:rFonts w:ascii="Bookman Old Style" w:hAnsi="Bookman Old Style"/>
          <w:sz w:val="16"/>
          <w:szCs w:val="16"/>
        </w:rPr>
      </w:pPr>
    </w:p>
    <w:p w14:paraId="466697EA" w14:textId="77777777" w:rsidR="006F2515" w:rsidRDefault="006F2515" w:rsidP="00A149BA">
      <w:pPr>
        <w:pStyle w:val="Prrafodelista"/>
        <w:rPr>
          <w:rFonts w:ascii="Bookman Old Style" w:hAnsi="Bookman Old Style"/>
          <w:sz w:val="16"/>
          <w:szCs w:val="16"/>
        </w:rPr>
      </w:pPr>
    </w:p>
    <w:p w14:paraId="03BCAB20" w14:textId="77777777" w:rsidR="006F2515" w:rsidRDefault="006F2515" w:rsidP="00A149BA">
      <w:pPr>
        <w:pStyle w:val="Prrafodelista"/>
        <w:rPr>
          <w:rFonts w:ascii="Bookman Old Style" w:hAnsi="Bookman Old Style"/>
          <w:sz w:val="16"/>
          <w:szCs w:val="16"/>
        </w:rPr>
      </w:pPr>
    </w:p>
    <w:p w14:paraId="4E3C3D99" w14:textId="77777777" w:rsidR="006F2515" w:rsidRDefault="006F2515" w:rsidP="00A149BA">
      <w:pPr>
        <w:pStyle w:val="Prrafodelista"/>
        <w:rPr>
          <w:rFonts w:ascii="Bookman Old Style" w:hAnsi="Bookman Old Style"/>
          <w:sz w:val="16"/>
          <w:szCs w:val="16"/>
        </w:rPr>
      </w:pPr>
    </w:p>
    <w:p w14:paraId="26EA8F78" w14:textId="77777777" w:rsidR="006F2515" w:rsidRDefault="006F2515" w:rsidP="00A149BA">
      <w:pPr>
        <w:pStyle w:val="Prrafodelista"/>
        <w:rPr>
          <w:rFonts w:ascii="Bookman Old Style" w:hAnsi="Bookman Old Style"/>
          <w:sz w:val="16"/>
          <w:szCs w:val="16"/>
        </w:rPr>
      </w:pPr>
    </w:p>
    <w:p w14:paraId="589049DE" w14:textId="77777777" w:rsidR="006F2515" w:rsidRDefault="006F2515" w:rsidP="00A149BA">
      <w:pPr>
        <w:pStyle w:val="Prrafodelista"/>
        <w:rPr>
          <w:rFonts w:ascii="Bookman Old Style" w:hAnsi="Bookman Old Style"/>
          <w:sz w:val="16"/>
          <w:szCs w:val="16"/>
        </w:rPr>
      </w:pPr>
    </w:p>
    <w:p w14:paraId="582D2F5A" w14:textId="77777777" w:rsidR="006F2515" w:rsidRDefault="006F2515" w:rsidP="00A149BA">
      <w:pPr>
        <w:pStyle w:val="Prrafodelista"/>
        <w:rPr>
          <w:rFonts w:ascii="Bookman Old Style" w:hAnsi="Bookman Old Style"/>
          <w:sz w:val="16"/>
          <w:szCs w:val="16"/>
        </w:rPr>
      </w:pPr>
    </w:p>
    <w:p w14:paraId="3917B2A2" w14:textId="77777777" w:rsidR="006F2515" w:rsidRDefault="006F2515" w:rsidP="00A149BA">
      <w:pPr>
        <w:pStyle w:val="Prrafodelista"/>
        <w:rPr>
          <w:rFonts w:ascii="Bookman Old Style" w:hAnsi="Bookman Old Style"/>
          <w:sz w:val="16"/>
          <w:szCs w:val="16"/>
        </w:rPr>
      </w:pPr>
    </w:p>
    <w:p w14:paraId="17271F7B" w14:textId="77777777" w:rsidR="006F2515" w:rsidRDefault="006F2515" w:rsidP="00A149BA">
      <w:pPr>
        <w:pStyle w:val="Prrafodelista"/>
        <w:rPr>
          <w:rFonts w:ascii="Bookman Old Style" w:hAnsi="Bookman Old Style"/>
          <w:sz w:val="16"/>
          <w:szCs w:val="16"/>
        </w:rPr>
      </w:pPr>
    </w:p>
    <w:p w14:paraId="45D79E41" w14:textId="77777777" w:rsidR="006F2515" w:rsidRDefault="006F2515" w:rsidP="00A149BA">
      <w:pPr>
        <w:pStyle w:val="Prrafodelista"/>
        <w:rPr>
          <w:rFonts w:ascii="Bookman Old Style" w:hAnsi="Bookman Old Style"/>
          <w:sz w:val="16"/>
          <w:szCs w:val="16"/>
        </w:rPr>
      </w:pPr>
    </w:p>
    <w:p w14:paraId="34612660" w14:textId="77777777" w:rsidR="00B92C4B" w:rsidRDefault="00B92C4B" w:rsidP="00A149BA">
      <w:pPr>
        <w:pStyle w:val="Prrafodelista"/>
        <w:rPr>
          <w:rFonts w:ascii="Bookman Old Style" w:hAnsi="Bookman Old Style"/>
          <w:sz w:val="16"/>
          <w:szCs w:val="16"/>
        </w:rPr>
      </w:pPr>
    </w:p>
    <w:p w14:paraId="26224DA3" w14:textId="77777777" w:rsidR="00B92C4B" w:rsidRDefault="00B92C4B" w:rsidP="00A149BA">
      <w:pPr>
        <w:pStyle w:val="Prrafodelista"/>
        <w:rPr>
          <w:rFonts w:ascii="Bookman Old Style" w:hAnsi="Bookman Old Style"/>
          <w:sz w:val="16"/>
          <w:szCs w:val="16"/>
        </w:rPr>
      </w:pPr>
    </w:p>
    <w:p w14:paraId="480975E7" w14:textId="77777777" w:rsidR="006F2515" w:rsidRPr="006F2515" w:rsidRDefault="006F2515" w:rsidP="006F2515">
      <w:pPr>
        <w:rPr>
          <w:rFonts w:ascii="Bookman Old Style" w:hAnsi="Bookman Old Style"/>
          <w:sz w:val="16"/>
          <w:szCs w:val="16"/>
        </w:rPr>
      </w:pPr>
    </w:p>
    <w:p w14:paraId="7E41C94A" w14:textId="123B8D92" w:rsidR="00A149BA" w:rsidRPr="006F2515" w:rsidRDefault="00A149BA" w:rsidP="00A149BA">
      <w:pPr>
        <w:spacing w:after="0"/>
        <w:jc w:val="both"/>
        <w:rPr>
          <w:rFonts w:ascii="Bookman Old Style" w:hAnsi="Bookman Old Style"/>
          <w:sz w:val="16"/>
          <w:szCs w:val="16"/>
        </w:rPr>
      </w:pPr>
    </w:p>
    <w:sectPr w:rsidR="00A149BA" w:rsidRPr="006F2515" w:rsidSect="00135A95">
      <w:footerReference w:type="default" r:id="rId12"/>
      <w:pgSz w:w="12240" w:h="15840"/>
      <w:pgMar w:top="1440"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F37E3" w14:textId="77777777" w:rsidR="00CE6BB8" w:rsidRDefault="00CE6BB8" w:rsidP="00424EC4">
      <w:pPr>
        <w:spacing w:after="0" w:line="240" w:lineRule="auto"/>
      </w:pPr>
      <w:r>
        <w:separator/>
      </w:r>
    </w:p>
  </w:endnote>
  <w:endnote w:type="continuationSeparator" w:id="0">
    <w:p w14:paraId="44B191FB" w14:textId="77777777" w:rsidR="00CE6BB8" w:rsidRDefault="00CE6BB8" w:rsidP="00424EC4">
      <w:pPr>
        <w:spacing w:after="0" w:line="240" w:lineRule="auto"/>
      </w:pPr>
      <w:r>
        <w:continuationSeparator/>
      </w:r>
    </w:p>
  </w:endnote>
  <w:endnote w:id="1">
    <w:p w14:paraId="5E2E222B" w14:textId="77777777" w:rsidR="006F2515" w:rsidRPr="006F2515" w:rsidRDefault="006F2515" w:rsidP="006F2515">
      <w:pPr>
        <w:spacing w:after="0"/>
        <w:jc w:val="both"/>
        <w:rPr>
          <w:rFonts w:ascii="Bookman Old Style" w:hAnsi="Bookman Old Style"/>
          <w:sz w:val="16"/>
          <w:szCs w:val="16"/>
        </w:rPr>
      </w:pPr>
      <w:r w:rsidRPr="006F2515">
        <w:rPr>
          <w:rFonts w:ascii="Bookman Old Style" w:hAnsi="Bookman Old Style"/>
          <w:sz w:val="16"/>
          <w:szCs w:val="16"/>
        </w:rPr>
        <w:t>*** This time period is not specified in CTC, and, thus, may be modified. This suggested 10-day calendar period is aligned with CTC’s objectives, in general, and the common period declared for direct judicial action on relief pending final determination (re possession), in particular. See point 4(i) above.</w:t>
      </w:r>
    </w:p>
    <w:p w14:paraId="4AB45BEC" w14:textId="0FE73BD6" w:rsidR="006F2515" w:rsidRDefault="006F2515">
      <w:pPr>
        <w:pStyle w:val="Textonotaalfinal"/>
        <w:rPr>
          <w:lang w:val="es-MX"/>
        </w:rPr>
      </w:pPr>
    </w:p>
    <w:p w14:paraId="6CA19D6F" w14:textId="77777777" w:rsidR="006F2515" w:rsidRPr="006F2515" w:rsidRDefault="006F2515">
      <w:pPr>
        <w:pStyle w:val="Textonotaalfinal"/>
        <w:rPr>
          <w:lang w:val="es-MX"/>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F85EF" w14:textId="77777777" w:rsidR="00135A95" w:rsidRDefault="00135A95">
    <w:pPr>
      <w:pStyle w:val="Piedepgina"/>
      <w:jc w:val="center"/>
    </w:pPr>
  </w:p>
  <w:sdt>
    <w:sdtPr>
      <w:id w:val="898325184"/>
      <w:docPartObj>
        <w:docPartGallery w:val="Page Numbers (Bottom of Page)"/>
        <w:docPartUnique/>
      </w:docPartObj>
    </w:sdtPr>
    <w:sdtContent>
      <w:p w14:paraId="30D67509" w14:textId="6D7F8789" w:rsidR="00135A95" w:rsidRDefault="00135A95">
        <w:pPr>
          <w:pStyle w:val="Piedepgina"/>
          <w:jc w:val="center"/>
        </w:pPr>
        <w:r>
          <w:fldChar w:fldCharType="begin"/>
        </w:r>
        <w:r>
          <w:instrText>PAGE   \* MERGEFORMAT</w:instrText>
        </w:r>
        <w:r>
          <w:fldChar w:fldCharType="separate"/>
        </w:r>
        <w:r>
          <w:rPr>
            <w:lang w:val="es-ES"/>
          </w:rPr>
          <w:t>2</w:t>
        </w:r>
        <w:r>
          <w:fldChar w:fldCharType="end"/>
        </w:r>
      </w:p>
    </w:sdtContent>
  </w:sdt>
  <w:p w14:paraId="53E68EC8" w14:textId="77777777" w:rsidR="000558CE" w:rsidRDefault="000558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D7279" w14:textId="77777777" w:rsidR="00CE6BB8" w:rsidRDefault="00CE6BB8" w:rsidP="00424EC4">
      <w:pPr>
        <w:spacing w:after="0" w:line="240" w:lineRule="auto"/>
      </w:pPr>
      <w:r>
        <w:separator/>
      </w:r>
    </w:p>
  </w:footnote>
  <w:footnote w:type="continuationSeparator" w:id="0">
    <w:p w14:paraId="530B2979" w14:textId="77777777" w:rsidR="00CE6BB8" w:rsidRDefault="00CE6BB8" w:rsidP="00424EC4">
      <w:pPr>
        <w:spacing w:after="0" w:line="240" w:lineRule="auto"/>
      </w:pPr>
      <w:r>
        <w:continuationSeparator/>
      </w:r>
    </w:p>
  </w:footnote>
  <w:footnote w:id="1">
    <w:p w14:paraId="522CC9F2" w14:textId="03E4FBFC" w:rsidR="00424EC4" w:rsidRPr="00B92C4B" w:rsidRDefault="008D61DE">
      <w:pPr>
        <w:pStyle w:val="Textonotapie"/>
        <w:rPr>
          <w:rFonts w:ascii="Bookman Old Style" w:hAnsi="Bookman Old Style"/>
          <w:sz w:val="16"/>
          <w:szCs w:val="16"/>
        </w:rPr>
      </w:pPr>
      <w:r w:rsidRPr="00B92C4B">
        <w:rPr>
          <w:rFonts w:ascii="Bookman Old Style" w:hAnsi="Bookman Old Style"/>
          <w:sz w:val="16"/>
          <w:szCs w:val="16"/>
        </w:rPr>
        <w:t>*</w:t>
      </w:r>
      <w:r w:rsidR="00424EC4" w:rsidRPr="00B92C4B">
        <w:rPr>
          <w:rStyle w:val="Refdenotaalpie"/>
          <w:color w:val="FFFFFF" w:themeColor="background1"/>
        </w:rPr>
        <w:footnoteRef/>
      </w:r>
      <w:r w:rsidR="00424EC4" w:rsidRPr="00B92C4B">
        <w:rPr>
          <w:rFonts w:ascii="Bookman Old Style" w:hAnsi="Bookman Old Style"/>
          <w:color w:val="FFFFFF" w:themeColor="background1"/>
          <w:sz w:val="16"/>
          <w:szCs w:val="16"/>
        </w:rPr>
        <w:t xml:space="preserve"> </w:t>
      </w:r>
      <w:r w:rsidR="00424EC4" w:rsidRPr="00B92C4B">
        <w:rPr>
          <w:rFonts w:ascii="Bookman Old Style" w:hAnsi="Bookman Old Style"/>
          <w:sz w:val="16"/>
          <w:szCs w:val="16"/>
        </w:rPr>
        <w:t>Title to be adjusted based on title and issuer of such rules, regulations, circular, or directive.</w:t>
      </w:r>
    </w:p>
    <w:p w14:paraId="34D2E5F0" w14:textId="5055B143" w:rsidR="00FF2047" w:rsidRPr="007059A3" w:rsidRDefault="00FF2047">
      <w:pPr>
        <w:pStyle w:val="Textonotapie"/>
        <w:rPr>
          <w:rFonts w:ascii="Times New Roman" w:hAnsi="Times New Roman" w:cs="Times New Roman"/>
          <w:color w:val="C00000"/>
          <w:sz w:val="18"/>
          <w:szCs w:val="18"/>
        </w:rPr>
      </w:pPr>
      <w:r w:rsidRPr="00B92C4B">
        <w:rPr>
          <w:rFonts w:ascii="Bookman Old Style" w:hAnsi="Bookman Old Style"/>
          <w:sz w:val="16"/>
          <w:szCs w:val="16"/>
        </w:rPr>
        <w:t xml:space="preserve">** The following assumes that the country made declarations under Article XXX (2) and Article XXX (3) of the Protocol in respect of Article X and Article XI (Alternative A) of the Protocol, respectively, with the above-noted timetable.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16E89"/>
    <w:multiLevelType w:val="hybridMultilevel"/>
    <w:tmpl w:val="5EF072DA"/>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519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B1"/>
    <w:rsid w:val="00001FA5"/>
    <w:rsid w:val="000343BD"/>
    <w:rsid w:val="00050286"/>
    <w:rsid w:val="000558CE"/>
    <w:rsid w:val="00057355"/>
    <w:rsid w:val="00064AFB"/>
    <w:rsid w:val="0009420F"/>
    <w:rsid w:val="00094B09"/>
    <w:rsid w:val="000A2904"/>
    <w:rsid w:val="000E4A3F"/>
    <w:rsid w:val="000F643B"/>
    <w:rsid w:val="00101434"/>
    <w:rsid w:val="00135A95"/>
    <w:rsid w:val="0014611F"/>
    <w:rsid w:val="00176D31"/>
    <w:rsid w:val="001B412F"/>
    <w:rsid w:val="001F7157"/>
    <w:rsid w:val="00213CDC"/>
    <w:rsid w:val="002223D8"/>
    <w:rsid w:val="002244D6"/>
    <w:rsid w:val="0023204A"/>
    <w:rsid w:val="00240E15"/>
    <w:rsid w:val="00277620"/>
    <w:rsid w:val="002812F3"/>
    <w:rsid w:val="002842BF"/>
    <w:rsid w:val="002B2B2A"/>
    <w:rsid w:val="002B42AD"/>
    <w:rsid w:val="002B69FD"/>
    <w:rsid w:val="002B7B9B"/>
    <w:rsid w:val="002F43FA"/>
    <w:rsid w:val="00344532"/>
    <w:rsid w:val="00346270"/>
    <w:rsid w:val="00354321"/>
    <w:rsid w:val="00364822"/>
    <w:rsid w:val="003712FC"/>
    <w:rsid w:val="003C0848"/>
    <w:rsid w:val="003D704C"/>
    <w:rsid w:val="00424EC4"/>
    <w:rsid w:val="004260C0"/>
    <w:rsid w:val="004446E1"/>
    <w:rsid w:val="004460A8"/>
    <w:rsid w:val="0045130C"/>
    <w:rsid w:val="00480ED0"/>
    <w:rsid w:val="00487042"/>
    <w:rsid w:val="004963C5"/>
    <w:rsid w:val="004B7F53"/>
    <w:rsid w:val="005127E1"/>
    <w:rsid w:val="005362A6"/>
    <w:rsid w:val="00571982"/>
    <w:rsid w:val="00590617"/>
    <w:rsid w:val="005D1AF8"/>
    <w:rsid w:val="005E2DC2"/>
    <w:rsid w:val="00603B08"/>
    <w:rsid w:val="006F2515"/>
    <w:rsid w:val="007059A3"/>
    <w:rsid w:val="00754D19"/>
    <w:rsid w:val="00786D94"/>
    <w:rsid w:val="007904CC"/>
    <w:rsid w:val="007A44BE"/>
    <w:rsid w:val="007E39B1"/>
    <w:rsid w:val="007E6CD6"/>
    <w:rsid w:val="00847690"/>
    <w:rsid w:val="00864990"/>
    <w:rsid w:val="00870AE4"/>
    <w:rsid w:val="008A677F"/>
    <w:rsid w:val="008B1057"/>
    <w:rsid w:val="008D1402"/>
    <w:rsid w:val="008D61DE"/>
    <w:rsid w:val="00913118"/>
    <w:rsid w:val="00923E85"/>
    <w:rsid w:val="00930F69"/>
    <w:rsid w:val="00943AC8"/>
    <w:rsid w:val="00947BE9"/>
    <w:rsid w:val="00990882"/>
    <w:rsid w:val="009A4573"/>
    <w:rsid w:val="009C0D28"/>
    <w:rsid w:val="009C4D9E"/>
    <w:rsid w:val="00A149BA"/>
    <w:rsid w:val="00A22D5B"/>
    <w:rsid w:val="00A24723"/>
    <w:rsid w:val="00A30DFF"/>
    <w:rsid w:val="00A65FF1"/>
    <w:rsid w:val="00A92356"/>
    <w:rsid w:val="00AA5592"/>
    <w:rsid w:val="00AA7535"/>
    <w:rsid w:val="00AC0050"/>
    <w:rsid w:val="00AD5C7F"/>
    <w:rsid w:val="00AF0A0F"/>
    <w:rsid w:val="00B21C67"/>
    <w:rsid w:val="00B27590"/>
    <w:rsid w:val="00B41CBE"/>
    <w:rsid w:val="00B92C4B"/>
    <w:rsid w:val="00BA5605"/>
    <w:rsid w:val="00BD6845"/>
    <w:rsid w:val="00BE13E6"/>
    <w:rsid w:val="00C74493"/>
    <w:rsid w:val="00C812A9"/>
    <w:rsid w:val="00C87CEF"/>
    <w:rsid w:val="00CD64DA"/>
    <w:rsid w:val="00CE3E5E"/>
    <w:rsid w:val="00CE6BB8"/>
    <w:rsid w:val="00D13EF1"/>
    <w:rsid w:val="00D31B11"/>
    <w:rsid w:val="00D42CF4"/>
    <w:rsid w:val="00D53332"/>
    <w:rsid w:val="00D856C3"/>
    <w:rsid w:val="00DA3E3C"/>
    <w:rsid w:val="00E173D5"/>
    <w:rsid w:val="00E37BFD"/>
    <w:rsid w:val="00E43255"/>
    <w:rsid w:val="00E45B16"/>
    <w:rsid w:val="00E47089"/>
    <w:rsid w:val="00E5016C"/>
    <w:rsid w:val="00E70C2B"/>
    <w:rsid w:val="00F25E48"/>
    <w:rsid w:val="00F270D3"/>
    <w:rsid w:val="00F4499F"/>
    <w:rsid w:val="00F51785"/>
    <w:rsid w:val="00F566CE"/>
    <w:rsid w:val="00F607C9"/>
    <w:rsid w:val="00F61C91"/>
    <w:rsid w:val="00FA44A4"/>
    <w:rsid w:val="00FC4F97"/>
    <w:rsid w:val="00FE7D56"/>
    <w:rsid w:val="00FF2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2D23F"/>
  <w15:chartTrackingRefBased/>
  <w15:docId w15:val="{579B75C3-0D41-4A27-8C0A-F237589C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39B1"/>
    <w:pPr>
      <w:ind w:left="720"/>
      <w:contextualSpacing/>
    </w:pPr>
  </w:style>
  <w:style w:type="paragraph" w:styleId="Revisin">
    <w:name w:val="Revision"/>
    <w:hidden/>
    <w:uiPriority w:val="99"/>
    <w:semiHidden/>
    <w:rsid w:val="00094B09"/>
    <w:pPr>
      <w:spacing w:after="0" w:line="240" w:lineRule="auto"/>
    </w:pPr>
  </w:style>
  <w:style w:type="paragraph" w:styleId="Textonotapie">
    <w:name w:val="footnote text"/>
    <w:basedOn w:val="Normal"/>
    <w:link w:val="TextonotapieCar"/>
    <w:uiPriority w:val="99"/>
    <w:semiHidden/>
    <w:unhideWhenUsed/>
    <w:rsid w:val="00424EC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24EC4"/>
    <w:rPr>
      <w:sz w:val="20"/>
      <w:szCs w:val="20"/>
    </w:rPr>
  </w:style>
  <w:style w:type="character" w:styleId="Refdenotaalpie">
    <w:name w:val="footnote reference"/>
    <w:basedOn w:val="Fuentedeprrafopredeter"/>
    <w:uiPriority w:val="99"/>
    <w:semiHidden/>
    <w:unhideWhenUsed/>
    <w:rsid w:val="00424EC4"/>
    <w:rPr>
      <w:vertAlign w:val="superscript"/>
    </w:rPr>
  </w:style>
  <w:style w:type="paragraph" w:styleId="Encabezado">
    <w:name w:val="header"/>
    <w:basedOn w:val="Normal"/>
    <w:link w:val="EncabezadoCar"/>
    <w:uiPriority w:val="99"/>
    <w:unhideWhenUsed/>
    <w:rsid w:val="000558C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558CE"/>
  </w:style>
  <w:style w:type="paragraph" w:styleId="Piedepgina">
    <w:name w:val="footer"/>
    <w:basedOn w:val="Normal"/>
    <w:link w:val="PiedepginaCar"/>
    <w:uiPriority w:val="99"/>
    <w:unhideWhenUsed/>
    <w:rsid w:val="000558C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558CE"/>
  </w:style>
  <w:style w:type="paragraph" w:styleId="Textonotaalfinal">
    <w:name w:val="endnote text"/>
    <w:basedOn w:val="Normal"/>
    <w:link w:val="TextonotaalfinalCar"/>
    <w:uiPriority w:val="99"/>
    <w:semiHidden/>
    <w:unhideWhenUsed/>
    <w:rsid w:val="006F251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F2515"/>
    <w:rPr>
      <w:sz w:val="20"/>
      <w:szCs w:val="20"/>
    </w:rPr>
  </w:style>
  <w:style w:type="character" w:styleId="Refdenotaalfinal">
    <w:name w:val="endnote reference"/>
    <w:basedOn w:val="Fuentedeprrafopredeter"/>
    <w:uiPriority w:val="99"/>
    <w:semiHidden/>
    <w:unhideWhenUsed/>
    <w:rsid w:val="006F25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6F61E79FA9A074E95B978700A7B0BE0" ma:contentTypeVersion="20" ma:contentTypeDescription="Crear nuevo documento." ma:contentTypeScope="" ma:versionID="1fc63c54fa35c51a92d55ba3d6192a62">
  <xsd:schema xmlns:xsd="http://www.w3.org/2001/XMLSchema" xmlns:xs="http://www.w3.org/2001/XMLSchema" xmlns:p="http://schemas.microsoft.com/office/2006/metadata/properties" xmlns:ns1="http://schemas.microsoft.com/sharepoint/v3" xmlns:ns3="c35ccbc1-cf3c-44ed-98fe-e838ba6e8f96" xmlns:ns4="3374b3cf-1bcf-45b9-b044-66e0b8cbd9d3" targetNamespace="http://schemas.microsoft.com/office/2006/metadata/properties" ma:root="true" ma:fieldsID="6ab97023ff47cec6adac351f52b03152" ns1:_="" ns3:_="" ns4:_="">
    <xsd:import namespace="http://schemas.microsoft.com/sharepoint/v3"/>
    <xsd:import namespace="c35ccbc1-cf3c-44ed-98fe-e838ba6e8f96"/>
    <xsd:import namespace="3374b3cf-1bcf-45b9-b044-66e0b8cbd9d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DateTake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LengthInSeconds"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iedades de la Directiva de cumplimiento unificado" ma:hidden="true" ma:internalName="_ip_UnifiedCompliancePolicyProperties">
      <xsd:simpleType>
        <xsd:restriction base="dms:Note"/>
      </xsd:simpleType>
    </xsd:element>
    <xsd:element name="_ip_UnifiedCompliancePolicyUIAction" ma:index="1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ccbc1-cf3c-44ed-98fe-e838ba6e8f9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74b3cf-1bcf-45b9-b044-66e0b8cbd9d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activity" ma:index="25" nillable="true" ma:displayName="_activity" ma:hidden="true" ma:internalName="_activity">
      <xsd:simpleType>
        <xsd:restriction base="dms:Note"/>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374b3cf-1bcf-45b9-b044-66e0b8cbd9d3" xsi:nil="true"/>
  </documentManagement>
</p:properties>
</file>

<file path=customXml/itemProps1.xml><?xml version="1.0" encoding="utf-8"?>
<ds:datastoreItem xmlns:ds="http://schemas.openxmlformats.org/officeDocument/2006/customXml" ds:itemID="{932DE77C-FFE0-4125-B5E9-9D6ABDD91FF3}">
  <ds:schemaRefs>
    <ds:schemaRef ds:uri="http://schemas.openxmlformats.org/officeDocument/2006/bibliography"/>
  </ds:schemaRefs>
</ds:datastoreItem>
</file>

<file path=customXml/itemProps2.xml><?xml version="1.0" encoding="utf-8"?>
<ds:datastoreItem xmlns:ds="http://schemas.openxmlformats.org/officeDocument/2006/customXml" ds:itemID="{D9525E2A-2533-43C5-9A86-378B79EEF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5ccbc1-cf3c-44ed-98fe-e838ba6e8f96"/>
    <ds:schemaRef ds:uri="3374b3cf-1bcf-45b9-b044-66e0b8cbd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45BC8-48ED-4699-BFBD-4FAF99A9F700}">
  <ds:schemaRefs>
    <ds:schemaRef ds:uri="http://schemas.microsoft.com/sharepoint/v3/contenttype/forms"/>
  </ds:schemaRefs>
</ds:datastoreItem>
</file>

<file path=customXml/itemProps4.xml><?xml version="1.0" encoding="utf-8"?>
<ds:datastoreItem xmlns:ds="http://schemas.openxmlformats.org/officeDocument/2006/customXml" ds:itemID="{FC6A7D6B-A4ED-4C8E-879B-511CE5ACF7B3}">
  <ds:schemaRefs>
    <ds:schemaRef ds:uri="http://schemas.microsoft.com/office/2006/metadata/properties"/>
    <ds:schemaRef ds:uri="http://schemas.microsoft.com/office/infopath/2007/PartnerControls"/>
    <ds:schemaRef ds:uri="http://schemas.microsoft.com/sharepoint/v3"/>
    <ds:schemaRef ds:uri="3374b3cf-1bcf-45b9-b044-66e0b8cbd9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4516</Characters>
  <Application>Microsoft Office Word</Application>
  <DocSecurity>0</DocSecurity>
  <Lines>80</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Boeing Company</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Jasmine</dc:creator>
  <cp:keywords/>
  <dc:description/>
  <cp:lastModifiedBy>Miguel Ruelas</cp:lastModifiedBy>
  <cp:revision>2</cp:revision>
  <dcterms:created xsi:type="dcterms:W3CDTF">2024-09-30T17:36:00Z</dcterms:created>
  <dcterms:modified xsi:type="dcterms:W3CDTF">2024-09-30T17:36:00Z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0x01010046F61E79FA9A074E95B978700A7B0BE0</vt:lpwstr>
  </property>
</Properties>
</file>