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3DE29" w14:textId="75D7392C" w:rsidR="006A681F" w:rsidRDefault="000726E7" w:rsidP="00E92118">
      <w:pPr>
        <w:pStyle w:val="BodyText"/>
        <w:ind w:left="0" w:firstLine="0"/>
        <w:rPr>
          <w:rFonts w:cs="Bookman Old Style"/>
          <w:b/>
          <w:bCs/>
          <w:sz w:val="22"/>
          <w:szCs w:val="22"/>
        </w:rPr>
      </w:pPr>
      <w:r>
        <w:rPr>
          <w:rFonts w:cs="Bookman Old Style"/>
          <w:b/>
          <w:bCs/>
          <w:sz w:val="22"/>
          <w:szCs w:val="22"/>
        </w:rPr>
        <w:t>2024</w:t>
      </w:r>
      <w:r w:rsidRPr="00C63EDF">
        <w:rPr>
          <w:rFonts w:cs="Bookman Old Style"/>
          <w:b/>
          <w:bCs/>
          <w:sz w:val="22"/>
          <w:szCs w:val="22"/>
        </w:rPr>
        <w:t xml:space="preserve"> </w:t>
      </w:r>
      <w:r w:rsidR="00F274D8">
        <w:rPr>
          <w:rFonts w:cs="Bookman Old Style"/>
          <w:b/>
          <w:bCs/>
          <w:sz w:val="22"/>
          <w:szCs w:val="22"/>
        </w:rPr>
        <w:t>Lease Transfer</w:t>
      </w:r>
      <w:r w:rsidR="006A681F" w:rsidRPr="00C63EDF">
        <w:rPr>
          <w:rFonts w:cs="Bookman Old Style"/>
          <w:b/>
          <w:bCs/>
          <w:sz w:val="22"/>
          <w:szCs w:val="22"/>
        </w:rPr>
        <w:t xml:space="preserve"> Principles</w:t>
      </w:r>
    </w:p>
    <w:p w14:paraId="7F49AB90" w14:textId="77777777" w:rsidR="006A681F" w:rsidRDefault="006A681F" w:rsidP="00E92118">
      <w:pPr>
        <w:pStyle w:val="BodyText"/>
        <w:ind w:left="0" w:firstLine="0"/>
        <w:rPr>
          <w:rFonts w:cs="Bookman Old Style"/>
          <w:b/>
          <w:bCs/>
          <w:sz w:val="22"/>
          <w:szCs w:val="22"/>
        </w:rPr>
      </w:pPr>
    </w:p>
    <w:p w14:paraId="788E5E11" w14:textId="5CB93788" w:rsidR="006A681F" w:rsidRDefault="006A681F" w:rsidP="006A681F">
      <w:pPr>
        <w:pStyle w:val="BodyText"/>
        <w:ind w:left="0" w:firstLine="0"/>
        <w:jc w:val="both"/>
        <w:rPr>
          <w:rFonts w:cs="Bookman Old Style"/>
          <w:sz w:val="22"/>
          <w:szCs w:val="22"/>
        </w:rPr>
      </w:pPr>
      <w:r w:rsidRPr="00C9452A">
        <w:rPr>
          <w:rFonts w:cs="Bookman Old Style"/>
          <w:sz w:val="22"/>
          <w:szCs w:val="22"/>
        </w:rPr>
        <w:t xml:space="preserve">The </w:t>
      </w:r>
      <w:r>
        <w:rPr>
          <w:rFonts w:cs="Bookman Old Style"/>
          <w:sz w:val="22"/>
          <w:szCs w:val="22"/>
        </w:rPr>
        <w:t xml:space="preserve">following is a set of </w:t>
      </w:r>
      <w:r w:rsidR="00B12F91">
        <w:rPr>
          <w:rFonts w:cs="Bookman Old Style"/>
          <w:sz w:val="22"/>
          <w:szCs w:val="22"/>
        </w:rPr>
        <w:t>lease transfer</w:t>
      </w:r>
      <w:r w:rsidR="0000665F">
        <w:rPr>
          <w:rFonts w:cs="Bookman Old Style"/>
          <w:sz w:val="22"/>
          <w:szCs w:val="22"/>
        </w:rPr>
        <w:t xml:space="preserve"> </w:t>
      </w:r>
      <w:r>
        <w:rPr>
          <w:rFonts w:cs="Bookman Old Style"/>
          <w:sz w:val="22"/>
          <w:szCs w:val="22"/>
        </w:rPr>
        <w:t xml:space="preserve">principles </w:t>
      </w:r>
      <w:r w:rsidR="0000665F">
        <w:rPr>
          <w:rFonts w:cs="Bookman Old Style"/>
          <w:sz w:val="22"/>
          <w:szCs w:val="22"/>
        </w:rPr>
        <w:t>that</w:t>
      </w:r>
      <w:r>
        <w:rPr>
          <w:rFonts w:cs="Bookman Old Style"/>
          <w:sz w:val="22"/>
          <w:szCs w:val="22"/>
        </w:rPr>
        <w:t xml:space="preserve"> </w:t>
      </w:r>
      <w:r w:rsidR="0000665F">
        <w:rPr>
          <w:rFonts w:cs="Bookman Old Style"/>
          <w:sz w:val="22"/>
          <w:szCs w:val="22"/>
        </w:rPr>
        <w:t>balance the core interests of lessors, lessees, and buyers of leased aircraft</w:t>
      </w:r>
      <w:r w:rsidR="000726E7">
        <w:rPr>
          <w:rFonts w:cs="Bookman Old Style"/>
          <w:sz w:val="22"/>
          <w:szCs w:val="22"/>
        </w:rPr>
        <w:t xml:space="preserve"> and engines</w:t>
      </w:r>
      <w:r w:rsidR="0000665F">
        <w:rPr>
          <w:rFonts w:cs="Bookman Old Style"/>
          <w:sz w:val="22"/>
          <w:szCs w:val="22"/>
        </w:rPr>
        <w:t>.</w:t>
      </w:r>
    </w:p>
    <w:p w14:paraId="08BBA3C5" w14:textId="77777777" w:rsidR="006A681F" w:rsidRDefault="006A681F" w:rsidP="006A681F">
      <w:pPr>
        <w:pStyle w:val="BodyText"/>
        <w:ind w:left="0" w:firstLine="0"/>
        <w:jc w:val="both"/>
        <w:rPr>
          <w:rFonts w:cs="Bookman Old Style"/>
          <w:sz w:val="22"/>
          <w:szCs w:val="22"/>
        </w:rPr>
      </w:pPr>
    </w:p>
    <w:p w14:paraId="21867E21" w14:textId="4C062A15" w:rsidR="006A681F" w:rsidRPr="00C9452A" w:rsidRDefault="006A681F" w:rsidP="006A681F">
      <w:pPr>
        <w:pStyle w:val="BodyText"/>
        <w:ind w:left="0" w:firstLine="0"/>
        <w:jc w:val="both"/>
        <w:rPr>
          <w:rFonts w:cs="Bookman Old Style"/>
          <w:sz w:val="22"/>
          <w:szCs w:val="22"/>
        </w:rPr>
      </w:pPr>
      <w:r>
        <w:rPr>
          <w:rFonts w:cs="Bookman Old Style"/>
          <w:sz w:val="22"/>
          <w:szCs w:val="22"/>
        </w:rPr>
        <w:t xml:space="preserve">They may be referred to as the </w:t>
      </w:r>
      <w:r w:rsidR="0000665F" w:rsidRPr="0000665F">
        <w:rPr>
          <w:rFonts w:cs="Bookman Old Style"/>
          <w:i/>
          <w:iCs/>
          <w:sz w:val="22"/>
          <w:szCs w:val="22"/>
        </w:rPr>
        <w:t xml:space="preserve">2024 </w:t>
      </w:r>
      <w:r w:rsidR="000726E7">
        <w:rPr>
          <w:rFonts w:cs="Bookman Old Style"/>
          <w:i/>
          <w:iCs/>
          <w:sz w:val="22"/>
          <w:szCs w:val="22"/>
        </w:rPr>
        <w:t>lease transfer</w:t>
      </w:r>
      <w:r w:rsidR="000726E7" w:rsidRPr="00ED31F9">
        <w:rPr>
          <w:rFonts w:cs="Bookman Old Style"/>
          <w:i/>
          <w:iCs/>
          <w:sz w:val="22"/>
          <w:szCs w:val="22"/>
        </w:rPr>
        <w:t xml:space="preserve"> </w:t>
      </w:r>
      <w:r w:rsidRPr="00ED31F9">
        <w:rPr>
          <w:rFonts w:cs="Bookman Old Style"/>
          <w:i/>
          <w:iCs/>
          <w:sz w:val="22"/>
          <w:szCs w:val="22"/>
        </w:rPr>
        <w:t>principles</w:t>
      </w:r>
      <w:r>
        <w:rPr>
          <w:rFonts w:cs="Bookman Old Style"/>
          <w:sz w:val="22"/>
          <w:szCs w:val="22"/>
        </w:rPr>
        <w:t>.</w:t>
      </w:r>
    </w:p>
    <w:p w14:paraId="3FA18F5B" w14:textId="77777777" w:rsidR="006A681F" w:rsidRDefault="006A681F" w:rsidP="006A681F">
      <w:pPr>
        <w:pStyle w:val="BodyText"/>
        <w:ind w:left="360" w:hanging="360"/>
        <w:jc w:val="both"/>
        <w:rPr>
          <w:rFonts w:cs="Bookman Old Style"/>
          <w:sz w:val="22"/>
          <w:szCs w:val="22"/>
        </w:rPr>
      </w:pPr>
    </w:p>
    <w:p w14:paraId="2D15E43E" w14:textId="21D3D7C7" w:rsidR="00CC5492" w:rsidRDefault="00CC5492" w:rsidP="0039575F">
      <w:pPr>
        <w:pStyle w:val="BodyText"/>
        <w:numPr>
          <w:ilvl w:val="0"/>
          <w:numId w:val="6"/>
        </w:numPr>
        <w:ind w:left="851" w:hanging="851"/>
        <w:jc w:val="both"/>
        <w:rPr>
          <w:rFonts w:cs="Bookman Old Style"/>
          <w:sz w:val="22"/>
          <w:szCs w:val="22"/>
        </w:rPr>
      </w:pPr>
      <w:r>
        <w:rPr>
          <w:rFonts w:cs="Bookman Old Style"/>
          <w:sz w:val="22"/>
          <w:szCs w:val="22"/>
        </w:rPr>
        <w:t xml:space="preserve">The sale of aircraft subject to a lease </w:t>
      </w:r>
      <w:r w:rsidR="00B12F91">
        <w:rPr>
          <w:rFonts w:cs="Bookman Old Style"/>
          <w:sz w:val="22"/>
          <w:szCs w:val="22"/>
        </w:rPr>
        <w:t>(a ‘</w:t>
      </w:r>
      <w:r w:rsidR="00B12F91" w:rsidRPr="00B12F91">
        <w:rPr>
          <w:rFonts w:cs="Bookman Old Style"/>
          <w:b/>
          <w:bCs/>
          <w:sz w:val="22"/>
          <w:szCs w:val="22"/>
        </w:rPr>
        <w:t>lease transfer</w:t>
      </w:r>
      <w:r w:rsidR="00B12F91">
        <w:rPr>
          <w:rFonts w:cs="Bookman Old Style"/>
          <w:sz w:val="22"/>
          <w:szCs w:val="22"/>
        </w:rPr>
        <w:t xml:space="preserve">’) </w:t>
      </w:r>
      <w:r>
        <w:rPr>
          <w:rFonts w:cs="Bookman Old Style"/>
          <w:sz w:val="22"/>
          <w:szCs w:val="22"/>
        </w:rPr>
        <w:t xml:space="preserve">should be made in line with </w:t>
      </w:r>
      <w:r w:rsidRPr="00554C87">
        <w:rPr>
          <w:rFonts w:cs="Bookman Old Style"/>
          <w:sz w:val="22"/>
          <w:szCs w:val="22"/>
        </w:rPr>
        <w:t xml:space="preserve">these 2024 </w:t>
      </w:r>
      <w:r w:rsidR="000726E7" w:rsidRPr="00554C87">
        <w:rPr>
          <w:rFonts w:cs="Bookman Old Style"/>
          <w:sz w:val="22"/>
          <w:szCs w:val="22"/>
        </w:rPr>
        <w:t>lease transfer</w:t>
      </w:r>
      <w:r w:rsidRPr="00554C87">
        <w:rPr>
          <w:rFonts w:cs="Bookman Old Style"/>
          <w:sz w:val="22"/>
          <w:szCs w:val="22"/>
        </w:rPr>
        <w:t xml:space="preserve"> principles</w:t>
      </w:r>
      <w:r>
        <w:rPr>
          <w:rFonts w:cs="Bookman Old Style"/>
          <w:sz w:val="22"/>
          <w:szCs w:val="22"/>
        </w:rPr>
        <w:t xml:space="preserve"> and taking into account the terms of the form </w:t>
      </w:r>
      <w:hyperlink r:id="rId9" w:history="1">
        <w:r w:rsidRPr="00217AD9">
          <w:rPr>
            <w:rStyle w:val="Hyperlink"/>
            <w:rFonts w:cs="Bookman Old Style"/>
            <w:sz w:val="22"/>
            <w:szCs w:val="22"/>
          </w:rPr>
          <w:t>2024 Aircraft Lease Novation and Amendment Agreement</w:t>
        </w:r>
      </w:hyperlink>
      <w:r w:rsidR="00136989">
        <w:rPr>
          <w:rFonts w:cs="Bookman Old Style"/>
          <w:sz w:val="22"/>
          <w:szCs w:val="22"/>
          <w:u w:val="single"/>
        </w:rPr>
        <w:t xml:space="preserve"> </w:t>
      </w:r>
      <w:r w:rsidR="00136989">
        <w:rPr>
          <w:rFonts w:cs="Bookman Old Style"/>
          <w:sz w:val="22"/>
          <w:szCs w:val="22"/>
        </w:rPr>
        <w:t xml:space="preserve"> or the </w:t>
      </w:r>
      <w:hyperlink r:id="rId10" w:history="1">
        <w:r w:rsidR="00136989" w:rsidRPr="00217AD9">
          <w:rPr>
            <w:rStyle w:val="Hyperlink"/>
            <w:rFonts w:cs="Bookman Old Style"/>
            <w:sz w:val="22"/>
            <w:szCs w:val="22"/>
          </w:rPr>
          <w:t>2024 Aircraft Lease Assignment and Assumption Agreement</w:t>
        </w:r>
      </w:hyperlink>
      <w:r w:rsidR="00136989">
        <w:rPr>
          <w:rFonts w:cs="Bookman Old Style"/>
          <w:sz w:val="22"/>
          <w:szCs w:val="22"/>
        </w:rPr>
        <w:t xml:space="preserve"> (as the case may be)</w:t>
      </w:r>
      <w:r>
        <w:rPr>
          <w:rFonts w:cs="Bookman Old Style"/>
          <w:sz w:val="22"/>
          <w:szCs w:val="22"/>
        </w:rPr>
        <w:t>.</w:t>
      </w:r>
      <w:r w:rsidR="00F274D8">
        <w:rPr>
          <w:rFonts w:cs="Bookman Old Style"/>
          <w:sz w:val="22"/>
          <w:szCs w:val="22"/>
        </w:rPr>
        <w:t xml:space="preserve"> That </w:t>
      </w:r>
      <w:r w:rsidR="000726E7">
        <w:rPr>
          <w:rFonts w:cs="Bookman Old Style"/>
          <w:sz w:val="22"/>
          <w:szCs w:val="22"/>
        </w:rPr>
        <w:t xml:space="preserve">approach </w:t>
      </w:r>
      <w:r w:rsidR="00F274D8">
        <w:rPr>
          <w:rFonts w:cs="Bookman Old Style"/>
          <w:sz w:val="22"/>
          <w:szCs w:val="22"/>
        </w:rPr>
        <w:t>s</w:t>
      </w:r>
      <w:r w:rsidR="004C25D4">
        <w:rPr>
          <w:rFonts w:cs="Bookman Old Style"/>
          <w:sz w:val="22"/>
          <w:szCs w:val="22"/>
        </w:rPr>
        <w:t>h</w:t>
      </w:r>
      <w:r w:rsidR="00F274D8">
        <w:rPr>
          <w:rFonts w:cs="Bookman Old Style"/>
          <w:sz w:val="22"/>
          <w:szCs w:val="22"/>
        </w:rPr>
        <w:t>ould be reflected in term sheets and lease transfer clauses.</w:t>
      </w:r>
    </w:p>
    <w:p w14:paraId="69C19B3B" w14:textId="6A61081F" w:rsidR="00F274D8" w:rsidRDefault="00F274D8" w:rsidP="00F274D8">
      <w:pPr>
        <w:pStyle w:val="BodyText"/>
        <w:ind w:left="851" w:firstLine="0"/>
        <w:jc w:val="both"/>
        <w:rPr>
          <w:rFonts w:cs="Bookman Old Style"/>
          <w:sz w:val="22"/>
          <w:szCs w:val="22"/>
        </w:rPr>
      </w:pPr>
    </w:p>
    <w:p w14:paraId="4517D947" w14:textId="2D3AD229" w:rsidR="00F274D8" w:rsidRDefault="00B12F91" w:rsidP="00F274D8">
      <w:pPr>
        <w:pStyle w:val="BodyText"/>
        <w:numPr>
          <w:ilvl w:val="0"/>
          <w:numId w:val="6"/>
        </w:numPr>
        <w:ind w:left="851" w:hanging="851"/>
        <w:rPr>
          <w:rFonts w:cs="Bookman Old Style"/>
          <w:sz w:val="22"/>
          <w:szCs w:val="22"/>
        </w:rPr>
      </w:pPr>
      <w:r>
        <w:rPr>
          <w:rFonts w:cs="Bookman Old Style"/>
          <w:sz w:val="22"/>
          <w:szCs w:val="22"/>
        </w:rPr>
        <w:t xml:space="preserve">A lease transfer should not impose any increased obligation on a lessee, measured at the time of the novation </w:t>
      </w:r>
      <w:r w:rsidR="006056D9">
        <w:rPr>
          <w:rFonts w:cs="Bookman Old Style"/>
          <w:sz w:val="22"/>
          <w:szCs w:val="22"/>
        </w:rPr>
        <w:t>or</w:t>
      </w:r>
      <w:r>
        <w:rPr>
          <w:rFonts w:cs="Bookman Old Style"/>
          <w:sz w:val="22"/>
          <w:szCs w:val="22"/>
        </w:rPr>
        <w:t xml:space="preserve"> assignment. </w:t>
      </w:r>
    </w:p>
    <w:p w14:paraId="3D36C24E" w14:textId="77777777" w:rsidR="00B12F91" w:rsidRDefault="00B12F91" w:rsidP="00B12F91">
      <w:pPr>
        <w:pStyle w:val="ListParagraph"/>
        <w:rPr>
          <w:rFonts w:cs="Bookman Old Style"/>
        </w:rPr>
      </w:pPr>
    </w:p>
    <w:p w14:paraId="33F20E9A" w14:textId="1E06F731" w:rsidR="00957B64" w:rsidRPr="00957B64" w:rsidRDefault="00DE021A" w:rsidP="00957B64">
      <w:pPr>
        <w:pStyle w:val="BodyText"/>
        <w:numPr>
          <w:ilvl w:val="0"/>
          <w:numId w:val="6"/>
        </w:numPr>
        <w:ind w:left="851" w:hanging="851"/>
        <w:rPr>
          <w:rFonts w:cs="Bookman Old Style"/>
          <w:sz w:val="22"/>
          <w:szCs w:val="22"/>
        </w:rPr>
      </w:pPr>
      <w:r>
        <w:rPr>
          <w:rFonts w:cs="Bookman Old Style"/>
          <w:sz w:val="22"/>
          <w:szCs w:val="22"/>
        </w:rPr>
        <w:t>A l</w:t>
      </w:r>
      <w:r w:rsidR="00B12F91">
        <w:rPr>
          <w:rFonts w:cs="Bookman Old Style"/>
          <w:sz w:val="22"/>
          <w:szCs w:val="22"/>
        </w:rPr>
        <w:t xml:space="preserve">essee should be paid </w:t>
      </w:r>
      <w:r w:rsidR="007B0931">
        <w:rPr>
          <w:rFonts w:cs="Bookman Old Style"/>
          <w:sz w:val="22"/>
          <w:szCs w:val="22"/>
        </w:rPr>
        <w:t xml:space="preserve">its </w:t>
      </w:r>
      <w:r w:rsidR="00B12F91">
        <w:rPr>
          <w:rFonts w:cs="Bookman Old Style"/>
          <w:sz w:val="22"/>
          <w:szCs w:val="22"/>
        </w:rPr>
        <w:t>reasonabl</w:t>
      </w:r>
      <w:r w:rsidR="004C25D4">
        <w:rPr>
          <w:rFonts w:cs="Bookman Old Style"/>
          <w:sz w:val="22"/>
          <w:szCs w:val="22"/>
        </w:rPr>
        <w:t>e</w:t>
      </w:r>
      <w:r w:rsidR="00B12F91">
        <w:rPr>
          <w:rFonts w:cs="Bookman Old Style"/>
          <w:sz w:val="22"/>
          <w:szCs w:val="22"/>
        </w:rPr>
        <w:t xml:space="preserve"> and customary costs and expenses.</w:t>
      </w:r>
      <w:r w:rsidR="00136989">
        <w:rPr>
          <w:rFonts w:cs="Bookman Old Style"/>
          <w:sz w:val="22"/>
          <w:szCs w:val="22"/>
        </w:rPr>
        <w:t xml:space="preserve"> </w:t>
      </w:r>
      <w:r w:rsidR="000726E7">
        <w:rPr>
          <w:rFonts w:cs="Bookman Old Style"/>
          <w:sz w:val="22"/>
          <w:szCs w:val="22"/>
        </w:rPr>
        <w:t xml:space="preserve">No </w:t>
      </w:r>
      <w:r w:rsidR="00843ABC">
        <w:rPr>
          <w:rFonts w:cs="Bookman Old Style"/>
          <w:sz w:val="22"/>
          <w:szCs w:val="22"/>
        </w:rPr>
        <w:t>additional fee should be paid at the time of transfer</w:t>
      </w:r>
      <w:r w:rsidR="00136989">
        <w:rPr>
          <w:rFonts w:cs="Bookman Old Style"/>
          <w:sz w:val="22"/>
          <w:szCs w:val="22"/>
        </w:rPr>
        <w:t xml:space="preserve"> beyond that </w:t>
      </w:r>
      <w:r w:rsidR="00044FC1">
        <w:rPr>
          <w:rFonts w:cs="Bookman Old Style"/>
          <w:sz w:val="22"/>
          <w:szCs w:val="22"/>
        </w:rPr>
        <w:t xml:space="preserve">(if any) </w:t>
      </w:r>
      <w:r w:rsidR="00136989">
        <w:rPr>
          <w:rFonts w:cs="Bookman Old Style"/>
          <w:sz w:val="22"/>
          <w:szCs w:val="22"/>
        </w:rPr>
        <w:t>already agreed in the lease</w:t>
      </w:r>
      <w:r w:rsidR="00843ABC">
        <w:rPr>
          <w:rFonts w:cs="Bookman Old Style"/>
          <w:sz w:val="22"/>
          <w:szCs w:val="22"/>
        </w:rPr>
        <w:t>.</w:t>
      </w:r>
    </w:p>
    <w:p w14:paraId="1A8C884D" w14:textId="77777777" w:rsidR="00B12F91" w:rsidRDefault="00B12F91" w:rsidP="00B12F91">
      <w:pPr>
        <w:pStyle w:val="ListParagraph"/>
        <w:rPr>
          <w:rFonts w:cs="Bookman Old Style"/>
        </w:rPr>
      </w:pPr>
    </w:p>
    <w:p w14:paraId="4BD7B315" w14:textId="22EC335C" w:rsidR="000227AC" w:rsidRDefault="000227AC" w:rsidP="00F274D8">
      <w:pPr>
        <w:pStyle w:val="BodyText"/>
        <w:numPr>
          <w:ilvl w:val="0"/>
          <w:numId w:val="6"/>
        </w:numPr>
        <w:ind w:left="851" w:hanging="851"/>
        <w:rPr>
          <w:rFonts w:cs="Bookman Old Style"/>
          <w:sz w:val="22"/>
          <w:szCs w:val="22"/>
        </w:rPr>
      </w:pPr>
      <w:r>
        <w:rPr>
          <w:rFonts w:cs="Bookman Old Style"/>
          <w:sz w:val="22"/>
          <w:szCs w:val="22"/>
        </w:rPr>
        <w:t xml:space="preserve">The only changes to the lease documents in connection with a lease transfer are those </w:t>
      </w:r>
      <w:r w:rsidR="006312C4">
        <w:rPr>
          <w:rFonts w:cs="Bookman Old Style"/>
          <w:sz w:val="22"/>
          <w:szCs w:val="22"/>
        </w:rPr>
        <w:t>logically</w:t>
      </w:r>
      <w:r>
        <w:rPr>
          <w:rFonts w:cs="Bookman Old Style"/>
          <w:sz w:val="22"/>
          <w:szCs w:val="22"/>
        </w:rPr>
        <w:t xml:space="preserve"> necessary to </w:t>
      </w:r>
      <w:proofErr w:type="gramStart"/>
      <w:r>
        <w:rPr>
          <w:rFonts w:cs="Bookman Old Style"/>
          <w:sz w:val="22"/>
          <w:szCs w:val="22"/>
        </w:rPr>
        <w:t>effect</w:t>
      </w:r>
      <w:proofErr w:type="gramEnd"/>
      <w:r>
        <w:rPr>
          <w:rFonts w:cs="Bookman Old Style"/>
          <w:sz w:val="22"/>
          <w:szCs w:val="22"/>
        </w:rPr>
        <w:t xml:space="preserve"> the transfer. A lease transfer is not an opportunity to reopen lease negotiations</w:t>
      </w:r>
      <w:r w:rsidR="00D72026">
        <w:rPr>
          <w:rFonts w:cs="Bookman Old Style"/>
          <w:sz w:val="22"/>
          <w:szCs w:val="22"/>
        </w:rPr>
        <w:t xml:space="preserve"> or change lease agreed-to provisions</w:t>
      </w:r>
      <w:r>
        <w:rPr>
          <w:rFonts w:cs="Bookman Old Style"/>
          <w:sz w:val="22"/>
          <w:szCs w:val="22"/>
        </w:rPr>
        <w:t xml:space="preserve">. </w:t>
      </w:r>
      <w:r w:rsidR="00136989">
        <w:rPr>
          <w:rFonts w:cs="Bookman Old Style"/>
          <w:sz w:val="22"/>
          <w:szCs w:val="22"/>
        </w:rPr>
        <w:t>The Parties</w:t>
      </w:r>
      <w:r>
        <w:rPr>
          <w:rFonts w:cs="Bookman Old Style"/>
          <w:sz w:val="22"/>
          <w:szCs w:val="22"/>
        </w:rPr>
        <w:t xml:space="preserve"> should instruct their counsel accordingly</w:t>
      </w:r>
      <w:r w:rsidR="006263BF">
        <w:rPr>
          <w:rFonts w:cs="Bookman Old Style"/>
          <w:sz w:val="22"/>
          <w:szCs w:val="22"/>
        </w:rPr>
        <w:t>.</w:t>
      </w:r>
    </w:p>
    <w:p w14:paraId="7B6A403E" w14:textId="77777777" w:rsidR="006263BF" w:rsidRDefault="006263BF" w:rsidP="006263BF">
      <w:pPr>
        <w:pStyle w:val="ListParagraph"/>
        <w:rPr>
          <w:rFonts w:cs="Bookman Old Style"/>
        </w:rPr>
      </w:pPr>
    </w:p>
    <w:p w14:paraId="482CD814" w14:textId="5F0F2AB0" w:rsidR="006263BF" w:rsidRDefault="006263BF" w:rsidP="00F274D8">
      <w:pPr>
        <w:pStyle w:val="BodyText"/>
        <w:numPr>
          <w:ilvl w:val="0"/>
          <w:numId w:val="6"/>
        </w:numPr>
        <w:ind w:left="851" w:hanging="851"/>
        <w:rPr>
          <w:rFonts w:cs="Bookman Old Style"/>
          <w:sz w:val="22"/>
          <w:szCs w:val="22"/>
        </w:rPr>
      </w:pPr>
      <w:r>
        <w:rPr>
          <w:rFonts w:cs="Bookman Old Style"/>
          <w:sz w:val="22"/>
          <w:szCs w:val="22"/>
        </w:rPr>
        <w:t xml:space="preserve">The Parties should make best efforts to close a lease transfer within no </w:t>
      </w:r>
      <w:r w:rsidR="00136989">
        <w:rPr>
          <w:rFonts w:cs="Bookman Old Style"/>
          <w:sz w:val="22"/>
          <w:szCs w:val="22"/>
        </w:rPr>
        <w:t>more</w:t>
      </w:r>
      <w:r>
        <w:rPr>
          <w:rFonts w:cs="Bookman Old Style"/>
          <w:sz w:val="22"/>
          <w:szCs w:val="22"/>
        </w:rPr>
        <w:t xml:space="preserve"> than </w:t>
      </w:r>
      <w:r w:rsidR="00843ABC">
        <w:rPr>
          <w:rFonts w:cs="Bookman Old Style"/>
          <w:sz w:val="22"/>
          <w:szCs w:val="22"/>
        </w:rPr>
        <w:t xml:space="preserve">eight </w:t>
      </w:r>
      <w:r>
        <w:rPr>
          <w:rFonts w:cs="Bookman Old Style"/>
          <w:sz w:val="22"/>
          <w:szCs w:val="22"/>
        </w:rPr>
        <w:t>(</w:t>
      </w:r>
      <w:r w:rsidR="00843ABC">
        <w:rPr>
          <w:rFonts w:cs="Bookman Old Style"/>
          <w:sz w:val="22"/>
          <w:szCs w:val="22"/>
        </w:rPr>
        <w:t>8</w:t>
      </w:r>
      <w:r>
        <w:rPr>
          <w:rFonts w:cs="Bookman Old Style"/>
          <w:sz w:val="22"/>
          <w:szCs w:val="22"/>
        </w:rPr>
        <w:t>) weeks from the</w:t>
      </w:r>
      <w:r w:rsidR="00136989">
        <w:rPr>
          <w:rFonts w:cs="Bookman Old Style"/>
          <w:sz w:val="22"/>
          <w:szCs w:val="22"/>
        </w:rPr>
        <w:t xml:space="preserve"> date on which the lessor notifies the lessee of the</w:t>
      </w:r>
      <w:r>
        <w:rPr>
          <w:rFonts w:cs="Bookman Old Style"/>
          <w:sz w:val="22"/>
          <w:szCs w:val="22"/>
        </w:rPr>
        <w:t xml:space="preserve"> intended</w:t>
      </w:r>
      <w:r w:rsidR="00136989">
        <w:rPr>
          <w:rFonts w:cs="Bookman Old Style"/>
          <w:sz w:val="22"/>
          <w:szCs w:val="22"/>
        </w:rPr>
        <w:t xml:space="preserve"> </w:t>
      </w:r>
      <w:r>
        <w:rPr>
          <w:rFonts w:cs="Bookman Old Style"/>
          <w:sz w:val="22"/>
          <w:szCs w:val="22"/>
        </w:rPr>
        <w:t>transfer date.</w:t>
      </w:r>
    </w:p>
    <w:p w14:paraId="723624E7" w14:textId="77777777" w:rsidR="006263BF" w:rsidRDefault="006263BF" w:rsidP="006263BF">
      <w:pPr>
        <w:pStyle w:val="ListParagraph"/>
        <w:rPr>
          <w:rFonts w:cs="Bookman Old Style"/>
        </w:rPr>
      </w:pPr>
    </w:p>
    <w:p w14:paraId="38BE28F6" w14:textId="3BF166DB" w:rsidR="006263BF" w:rsidRDefault="006263BF" w:rsidP="00F274D8">
      <w:pPr>
        <w:pStyle w:val="BodyText"/>
        <w:numPr>
          <w:ilvl w:val="0"/>
          <w:numId w:val="6"/>
        </w:numPr>
        <w:ind w:left="851" w:hanging="851"/>
        <w:rPr>
          <w:rFonts w:cs="Bookman Old Style"/>
          <w:sz w:val="22"/>
          <w:szCs w:val="22"/>
        </w:rPr>
      </w:pPr>
      <w:r>
        <w:rPr>
          <w:rFonts w:cs="Bookman Old Style"/>
          <w:sz w:val="22"/>
          <w:szCs w:val="22"/>
        </w:rPr>
        <w:t>To facilitate that timing, lessor should provide lessee with information about the buye</w:t>
      </w:r>
      <w:r w:rsidR="00D72026">
        <w:rPr>
          <w:rFonts w:cs="Bookman Old Style"/>
          <w:sz w:val="22"/>
          <w:szCs w:val="22"/>
        </w:rPr>
        <w:t>r</w:t>
      </w:r>
      <w:r>
        <w:rPr>
          <w:rFonts w:cs="Bookman Old Style"/>
          <w:sz w:val="22"/>
          <w:szCs w:val="22"/>
        </w:rPr>
        <w:t xml:space="preserve"> in line with the </w:t>
      </w:r>
      <w:r w:rsidR="00444BB5" w:rsidRPr="00524F4C">
        <w:rPr>
          <w:rFonts w:cs="Bookman Old Style"/>
          <w:sz w:val="22"/>
          <w:szCs w:val="22"/>
        </w:rPr>
        <w:t xml:space="preserve">Proforma </w:t>
      </w:r>
      <w:r w:rsidRPr="00524F4C">
        <w:rPr>
          <w:rFonts w:cs="Bookman Old Style"/>
          <w:sz w:val="22"/>
          <w:szCs w:val="22"/>
        </w:rPr>
        <w:t>Buyer/Lessor Information Form</w:t>
      </w:r>
      <w:r>
        <w:rPr>
          <w:rFonts w:cs="Bookman Old Style"/>
          <w:sz w:val="22"/>
          <w:szCs w:val="22"/>
        </w:rPr>
        <w:t xml:space="preserve"> at the time of that notice</w:t>
      </w:r>
      <w:r w:rsidR="00D72026">
        <w:rPr>
          <w:rFonts w:cs="Bookman Old Style"/>
          <w:sz w:val="22"/>
          <w:szCs w:val="22"/>
        </w:rPr>
        <w:t xml:space="preserve">. </w:t>
      </w:r>
      <w:r>
        <w:rPr>
          <w:rFonts w:cs="Bookman Old Style"/>
          <w:sz w:val="22"/>
          <w:szCs w:val="22"/>
        </w:rPr>
        <w:t xml:space="preserve"> </w:t>
      </w:r>
      <w:r w:rsidR="00D72026">
        <w:rPr>
          <w:rFonts w:cs="Bookman Old Style"/>
          <w:sz w:val="22"/>
          <w:szCs w:val="22"/>
        </w:rPr>
        <w:t>L</w:t>
      </w:r>
      <w:r>
        <w:rPr>
          <w:rFonts w:cs="Bookman Old Style"/>
          <w:sz w:val="22"/>
          <w:szCs w:val="22"/>
        </w:rPr>
        <w:t xml:space="preserve">essee </w:t>
      </w:r>
      <w:r w:rsidR="00D72026">
        <w:rPr>
          <w:rFonts w:cs="Bookman Old Style"/>
          <w:sz w:val="22"/>
          <w:szCs w:val="22"/>
        </w:rPr>
        <w:t xml:space="preserve">should then </w:t>
      </w:r>
      <w:r>
        <w:rPr>
          <w:rFonts w:cs="Bookman Old Style"/>
          <w:sz w:val="22"/>
          <w:szCs w:val="22"/>
        </w:rPr>
        <w:t>a</w:t>
      </w:r>
      <w:r w:rsidR="007B0931">
        <w:rPr>
          <w:rFonts w:cs="Bookman Old Style"/>
          <w:sz w:val="22"/>
          <w:szCs w:val="22"/>
        </w:rPr>
        <w:t>ss</w:t>
      </w:r>
      <w:r>
        <w:rPr>
          <w:rFonts w:cs="Bookman Old Style"/>
          <w:sz w:val="22"/>
          <w:szCs w:val="22"/>
        </w:rPr>
        <w:t xml:space="preserve">ess compliance with the </w:t>
      </w:r>
      <w:r w:rsidR="007B0931">
        <w:rPr>
          <w:rFonts w:cs="Bookman Old Style"/>
          <w:sz w:val="22"/>
          <w:szCs w:val="22"/>
        </w:rPr>
        <w:t xml:space="preserve">lease </w:t>
      </w:r>
      <w:r>
        <w:rPr>
          <w:rFonts w:cs="Bookman Old Style"/>
          <w:sz w:val="22"/>
          <w:szCs w:val="22"/>
        </w:rPr>
        <w:t>transfer requir</w:t>
      </w:r>
      <w:r w:rsidR="00843ABC">
        <w:rPr>
          <w:rFonts w:cs="Bookman Old Style"/>
          <w:sz w:val="22"/>
          <w:szCs w:val="22"/>
        </w:rPr>
        <w:t>e</w:t>
      </w:r>
      <w:r>
        <w:rPr>
          <w:rFonts w:cs="Bookman Old Style"/>
          <w:sz w:val="22"/>
          <w:szCs w:val="22"/>
        </w:rPr>
        <w:t>ments</w:t>
      </w:r>
      <w:r w:rsidR="00D72026">
        <w:rPr>
          <w:rFonts w:cs="Bookman Old Style"/>
          <w:sz w:val="22"/>
          <w:szCs w:val="22"/>
        </w:rPr>
        <w:t xml:space="preserve"> regarding transferees as </w:t>
      </w:r>
      <w:r w:rsidR="00843ABC">
        <w:rPr>
          <w:rFonts w:cs="Bookman Old Style"/>
          <w:sz w:val="22"/>
          <w:szCs w:val="22"/>
        </w:rPr>
        <w:t xml:space="preserve">quickly </w:t>
      </w:r>
      <w:r w:rsidR="00D72026">
        <w:rPr>
          <w:rFonts w:cs="Bookman Old Style"/>
          <w:sz w:val="22"/>
          <w:szCs w:val="22"/>
        </w:rPr>
        <w:t>as possible</w:t>
      </w:r>
      <w:r>
        <w:rPr>
          <w:rFonts w:cs="Bookman Old Style"/>
          <w:sz w:val="22"/>
          <w:szCs w:val="22"/>
        </w:rPr>
        <w:t>.</w:t>
      </w:r>
    </w:p>
    <w:p w14:paraId="7E0D1B66" w14:textId="77777777" w:rsidR="00957B64" w:rsidRDefault="00957B64" w:rsidP="00957B64">
      <w:pPr>
        <w:pStyle w:val="ListParagraph"/>
        <w:rPr>
          <w:rFonts w:cs="Bookman Old Style"/>
        </w:rPr>
      </w:pPr>
    </w:p>
    <w:p w14:paraId="0F710658" w14:textId="0D534E04" w:rsidR="00957B64" w:rsidRDefault="00957B64" w:rsidP="00F274D8">
      <w:pPr>
        <w:pStyle w:val="BodyText"/>
        <w:numPr>
          <w:ilvl w:val="0"/>
          <w:numId w:val="6"/>
        </w:numPr>
        <w:ind w:left="851" w:hanging="851"/>
        <w:rPr>
          <w:rFonts w:cs="Bookman Old Style"/>
          <w:sz w:val="22"/>
          <w:szCs w:val="22"/>
        </w:rPr>
      </w:pPr>
      <w:r>
        <w:rPr>
          <w:rFonts w:cs="Bookman Old Style"/>
          <w:sz w:val="22"/>
          <w:szCs w:val="22"/>
        </w:rPr>
        <w:t xml:space="preserve">The closing of a lease transfer should be designed to </w:t>
      </w:r>
      <w:r w:rsidR="00D42F83">
        <w:rPr>
          <w:rFonts w:cs="Bookman Old Style"/>
          <w:sz w:val="22"/>
          <w:szCs w:val="22"/>
        </w:rPr>
        <w:t>minimize</w:t>
      </w:r>
      <w:r>
        <w:rPr>
          <w:rFonts w:cs="Bookman Old Style"/>
          <w:sz w:val="22"/>
          <w:szCs w:val="22"/>
        </w:rPr>
        <w:t xml:space="preserve"> disruption to aircraft operations.</w:t>
      </w:r>
    </w:p>
    <w:p w14:paraId="036EBDCB" w14:textId="77777777" w:rsidR="006263BF" w:rsidRDefault="006263BF" w:rsidP="006263BF">
      <w:pPr>
        <w:pStyle w:val="ListParagraph"/>
        <w:rPr>
          <w:rFonts w:cs="Bookman Old Style"/>
        </w:rPr>
      </w:pPr>
    </w:p>
    <w:p w14:paraId="1E56D234" w14:textId="03CAD123" w:rsidR="006A681F" w:rsidRDefault="006A681F" w:rsidP="006A681F">
      <w:pPr>
        <w:pStyle w:val="BodyText"/>
        <w:ind w:left="0" w:firstLine="0"/>
        <w:jc w:val="both"/>
        <w:rPr>
          <w:rFonts w:cs="Bookman Old Style"/>
          <w:sz w:val="22"/>
          <w:szCs w:val="22"/>
        </w:rPr>
      </w:pPr>
    </w:p>
    <w:p w14:paraId="47304B1B" w14:textId="10963E49" w:rsidR="00412C00" w:rsidRPr="00C63EDF" w:rsidRDefault="006A681F" w:rsidP="00D42F83">
      <w:pPr>
        <w:pStyle w:val="BodyText"/>
        <w:ind w:left="0" w:firstLine="0"/>
        <w:jc w:val="both"/>
        <w:rPr>
          <w:rFonts w:cs="Bookman Old Style"/>
          <w:sz w:val="22"/>
          <w:szCs w:val="22"/>
        </w:rPr>
      </w:pPr>
      <w:r>
        <w:rPr>
          <w:rFonts w:cs="Bookman Old Style"/>
          <w:sz w:val="22"/>
          <w:szCs w:val="22"/>
        </w:rPr>
        <w:t>END</w:t>
      </w:r>
    </w:p>
    <w:sectPr w:rsidR="00412C00" w:rsidRPr="00C63EDF" w:rsidSect="00B216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360" w:right="1700" w:bottom="1135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3C007" w14:textId="77777777" w:rsidR="00653713" w:rsidRDefault="00653713" w:rsidP="00DB0070">
      <w:r>
        <w:separator/>
      </w:r>
    </w:p>
  </w:endnote>
  <w:endnote w:type="continuationSeparator" w:id="0">
    <w:p w14:paraId="2159E1D8" w14:textId="77777777" w:rsidR="00653713" w:rsidRDefault="00653713" w:rsidP="00DB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A6823" w14:textId="77777777" w:rsidR="00B33DA1" w:rsidRDefault="00B33D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19980" w14:textId="77777777" w:rsidR="00B33DA1" w:rsidRDefault="00B33D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0E235" w14:textId="77777777" w:rsidR="00B33DA1" w:rsidRDefault="00B33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3EF6A" w14:textId="77777777" w:rsidR="00653713" w:rsidRDefault="00653713" w:rsidP="00DB0070">
      <w:r>
        <w:separator/>
      </w:r>
    </w:p>
  </w:footnote>
  <w:footnote w:type="continuationSeparator" w:id="0">
    <w:p w14:paraId="1D66B870" w14:textId="77777777" w:rsidR="00653713" w:rsidRDefault="00653713" w:rsidP="00DB0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1F6CC" w14:textId="168D64FF" w:rsidR="00E92118" w:rsidRDefault="00E921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72C34" w14:textId="496840F6" w:rsidR="00E92118" w:rsidRDefault="00E921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6DA57" w14:textId="4D82308D" w:rsidR="00E92118" w:rsidRDefault="00E92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C1D68"/>
    <w:multiLevelType w:val="hybridMultilevel"/>
    <w:tmpl w:val="88B05388"/>
    <w:lvl w:ilvl="0" w:tplc="E7A41440">
      <w:start w:val="1"/>
      <w:numFmt w:val="decimal"/>
      <w:lvlText w:val="%1."/>
      <w:lvlJc w:val="left"/>
      <w:pPr>
        <w:ind w:left="2410" w:hanging="708"/>
      </w:pPr>
      <w:rPr>
        <w:rFonts w:ascii="Bookman Old Style" w:eastAsia="Bookman Old Style" w:hAnsi="Bookman Old Style" w:hint="default"/>
        <w:spacing w:val="-1"/>
        <w:w w:val="99"/>
        <w:sz w:val="24"/>
        <w:szCs w:val="24"/>
      </w:rPr>
    </w:lvl>
    <w:lvl w:ilvl="1" w:tplc="2C0407F4">
      <w:start w:val="1"/>
      <w:numFmt w:val="lowerLetter"/>
      <w:lvlText w:val="%2."/>
      <w:lvlJc w:val="left"/>
      <w:pPr>
        <w:ind w:left="3118" w:hanging="708"/>
      </w:pPr>
      <w:rPr>
        <w:rFonts w:ascii="Bookman Old Style" w:eastAsia="Bookman Old Style" w:hAnsi="Bookman Old Style" w:hint="default"/>
        <w:w w:val="99"/>
        <w:sz w:val="24"/>
        <w:szCs w:val="24"/>
      </w:rPr>
    </w:lvl>
    <w:lvl w:ilvl="2" w:tplc="72E40A04">
      <w:start w:val="1"/>
      <w:numFmt w:val="bullet"/>
      <w:lvlText w:val="•"/>
      <w:lvlJc w:val="left"/>
      <w:pPr>
        <w:ind w:left="4131" w:hanging="708"/>
      </w:pPr>
      <w:rPr>
        <w:rFonts w:hint="default"/>
      </w:rPr>
    </w:lvl>
    <w:lvl w:ilvl="3" w:tplc="9B684B88">
      <w:start w:val="1"/>
      <w:numFmt w:val="bullet"/>
      <w:lvlText w:val="•"/>
      <w:lvlJc w:val="left"/>
      <w:pPr>
        <w:ind w:left="5145" w:hanging="708"/>
      </w:pPr>
      <w:rPr>
        <w:rFonts w:hint="default"/>
      </w:rPr>
    </w:lvl>
    <w:lvl w:ilvl="4" w:tplc="189A26BA">
      <w:start w:val="1"/>
      <w:numFmt w:val="bullet"/>
      <w:lvlText w:val="•"/>
      <w:lvlJc w:val="left"/>
      <w:pPr>
        <w:ind w:left="6158" w:hanging="708"/>
      </w:pPr>
      <w:rPr>
        <w:rFonts w:hint="default"/>
      </w:rPr>
    </w:lvl>
    <w:lvl w:ilvl="5" w:tplc="3962E850">
      <w:start w:val="1"/>
      <w:numFmt w:val="bullet"/>
      <w:lvlText w:val="•"/>
      <w:lvlJc w:val="left"/>
      <w:pPr>
        <w:ind w:left="7172" w:hanging="708"/>
      </w:pPr>
      <w:rPr>
        <w:rFonts w:hint="default"/>
      </w:rPr>
    </w:lvl>
    <w:lvl w:ilvl="6" w:tplc="C5C001A6">
      <w:start w:val="1"/>
      <w:numFmt w:val="bullet"/>
      <w:lvlText w:val="•"/>
      <w:lvlJc w:val="left"/>
      <w:pPr>
        <w:ind w:left="8185" w:hanging="708"/>
      </w:pPr>
      <w:rPr>
        <w:rFonts w:hint="default"/>
      </w:rPr>
    </w:lvl>
    <w:lvl w:ilvl="7" w:tplc="A5EA8C3C">
      <w:start w:val="1"/>
      <w:numFmt w:val="bullet"/>
      <w:lvlText w:val="•"/>
      <w:lvlJc w:val="left"/>
      <w:pPr>
        <w:ind w:left="9199" w:hanging="708"/>
      </w:pPr>
      <w:rPr>
        <w:rFonts w:hint="default"/>
      </w:rPr>
    </w:lvl>
    <w:lvl w:ilvl="8" w:tplc="5F5850DA">
      <w:start w:val="1"/>
      <w:numFmt w:val="bullet"/>
      <w:lvlText w:val="•"/>
      <w:lvlJc w:val="left"/>
      <w:pPr>
        <w:ind w:left="10212" w:hanging="708"/>
      </w:pPr>
      <w:rPr>
        <w:rFonts w:hint="default"/>
      </w:rPr>
    </w:lvl>
  </w:abstractNum>
  <w:abstractNum w:abstractNumId="1" w15:restartNumberingAfterBreak="0">
    <w:nsid w:val="39FF25C1"/>
    <w:multiLevelType w:val="hybridMultilevel"/>
    <w:tmpl w:val="42AC46B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87D14E9"/>
    <w:multiLevelType w:val="hybridMultilevel"/>
    <w:tmpl w:val="1E563EE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C6590"/>
    <w:multiLevelType w:val="hybridMultilevel"/>
    <w:tmpl w:val="ABF67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8ABF6">
      <w:start w:val="1"/>
      <w:numFmt w:val="lowerLetter"/>
      <w:lvlText w:val="(%2)"/>
      <w:lvlJc w:val="left"/>
      <w:pPr>
        <w:ind w:left="153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8332CE0"/>
    <w:multiLevelType w:val="hybridMultilevel"/>
    <w:tmpl w:val="7C5A2E7E"/>
    <w:lvl w:ilvl="0" w:tplc="F4DC4960">
      <w:start w:val="1"/>
      <w:numFmt w:val="upperLetter"/>
      <w:lvlText w:val="%1)"/>
      <w:lvlJc w:val="left"/>
      <w:pPr>
        <w:ind w:left="810" w:hanging="708"/>
        <w:jc w:val="right"/>
      </w:pPr>
      <w:rPr>
        <w:rFonts w:ascii="Bookman Old Style" w:eastAsia="Bookman Old Style" w:hAnsi="Bookman Old Style" w:hint="default"/>
        <w:spacing w:val="-1"/>
        <w:sz w:val="24"/>
        <w:szCs w:val="24"/>
      </w:rPr>
    </w:lvl>
    <w:lvl w:ilvl="1" w:tplc="548CD9CE">
      <w:start w:val="1"/>
      <w:numFmt w:val="decimal"/>
      <w:lvlText w:val="%2."/>
      <w:lvlJc w:val="left"/>
      <w:pPr>
        <w:ind w:left="2767" w:hanging="706"/>
        <w:jc w:val="right"/>
      </w:pPr>
      <w:rPr>
        <w:rFonts w:ascii="Bookman Old Style" w:eastAsia="Bookman Old Style" w:hAnsi="Bookman Old Style" w:hint="default"/>
        <w:spacing w:val="-1"/>
        <w:w w:val="99"/>
        <w:sz w:val="24"/>
        <w:szCs w:val="24"/>
      </w:rPr>
    </w:lvl>
    <w:lvl w:ilvl="2" w:tplc="6CDEDCFE">
      <w:start w:val="1"/>
      <w:numFmt w:val="bullet"/>
      <w:lvlText w:val="•"/>
      <w:lvlJc w:val="left"/>
      <w:pPr>
        <w:ind w:left="3820" w:hanging="706"/>
      </w:pPr>
      <w:rPr>
        <w:rFonts w:hint="default"/>
      </w:rPr>
    </w:lvl>
    <w:lvl w:ilvl="3" w:tplc="A912BC8A">
      <w:start w:val="1"/>
      <w:numFmt w:val="bullet"/>
      <w:lvlText w:val="•"/>
      <w:lvlJc w:val="left"/>
      <w:pPr>
        <w:ind w:left="4872" w:hanging="706"/>
      </w:pPr>
      <w:rPr>
        <w:rFonts w:hint="default"/>
      </w:rPr>
    </w:lvl>
    <w:lvl w:ilvl="4" w:tplc="78D4B7A6">
      <w:start w:val="1"/>
      <w:numFmt w:val="bullet"/>
      <w:lvlText w:val="•"/>
      <w:lvlJc w:val="left"/>
      <w:pPr>
        <w:ind w:left="5925" w:hanging="706"/>
      </w:pPr>
      <w:rPr>
        <w:rFonts w:hint="default"/>
      </w:rPr>
    </w:lvl>
    <w:lvl w:ilvl="5" w:tplc="01FEA934">
      <w:start w:val="1"/>
      <w:numFmt w:val="bullet"/>
      <w:lvlText w:val="•"/>
      <w:lvlJc w:val="left"/>
      <w:pPr>
        <w:ind w:left="6977" w:hanging="706"/>
      </w:pPr>
      <w:rPr>
        <w:rFonts w:hint="default"/>
      </w:rPr>
    </w:lvl>
    <w:lvl w:ilvl="6" w:tplc="DBFE17CC">
      <w:start w:val="1"/>
      <w:numFmt w:val="bullet"/>
      <w:lvlText w:val="•"/>
      <w:lvlJc w:val="left"/>
      <w:pPr>
        <w:ind w:left="8030" w:hanging="706"/>
      </w:pPr>
      <w:rPr>
        <w:rFonts w:hint="default"/>
      </w:rPr>
    </w:lvl>
    <w:lvl w:ilvl="7" w:tplc="64D0F6E6">
      <w:start w:val="1"/>
      <w:numFmt w:val="bullet"/>
      <w:lvlText w:val="•"/>
      <w:lvlJc w:val="left"/>
      <w:pPr>
        <w:ind w:left="9082" w:hanging="706"/>
      </w:pPr>
      <w:rPr>
        <w:rFonts w:hint="default"/>
      </w:rPr>
    </w:lvl>
    <w:lvl w:ilvl="8" w:tplc="A238B10A">
      <w:start w:val="1"/>
      <w:numFmt w:val="bullet"/>
      <w:lvlText w:val="•"/>
      <w:lvlJc w:val="left"/>
      <w:pPr>
        <w:ind w:left="10135" w:hanging="706"/>
      </w:pPr>
      <w:rPr>
        <w:rFonts w:hint="default"/>
      </w:rPr>
    </w:lvl>
  </w:abstractNum>
  <w:abstractNum w:abstractNumId="5" w15:restartNumberingAfterBreak="0">
    <w:nsid w:val="68350FA4"/>
    <w:multiLevelType w:val="hybridMultilevel"/>
    <w:tmpl w:val="EC4A8FE4"/>
    <w:lvl w:ilvl="0" w:tplc="89CCBE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0864544">
    <w:abstractNumId w:val="0"/>
  </w:num>
  <w:num w:numId="2" w16cid:durableId="767316068">
    <w:abstractNumId w:val="4"/>
  </w:num>
  <w:num w:numId="3" w16cid:durableId="1703821372">
    <w:abstractNumId w:val="5"/>
  </w:num>
  <w:num w:numId="4" w16cid:durableId="1074159004">
    <w:abstractNumId w:val="1"/>
  </w:num>
  <w:num w:numId="5" w16cid:durableId="750195804">
    <w:abstractNumId w:val="2"/>
  </w:num>
  <w:num w:numId="6" w16cid:durableId="11608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03"/>
    <w:rsid w:val="0000665F"/>
    <w:rsid w:val="000227AC"/>
    <w:rsid w:val="000259AD"/>
    <w:rsid w:val="000363DF"/>
    <w:rsid w:val="00037CA8"/>
    <w:rsid w:val="00044FC1"/>
    <w:rsid w:val="000726E7"/>
    <w:rsid w:val="00080CD8"/>
    <w:rsid w:val="00084262"/>
    <w:rsid w:val="00085D1E"/>
    <w:rsid w:val="000872CA"/>
    <w:rsid w:val="000A74F5"/>
    <w:rsid w:val="000B71FC"/>
    <w:rsid w:val="000B7D31"/>
    <w:rsid w:val="000C540F"/>
    <w:rsid w:val="000C6BB6"/>
    <w:rsid w:val="000F6475"/>
    <w:rsid w:val="00101C43"/>
    <w:rsid w:val="00102895"/>
    <w:rsid w:val="00105CF4"/>
    <w:rsid w:val="0013190E"/>
    <w:rsid w:val="00136989"/>
    <w:rsid w:val="001468EC"/>
    <w:rsid w:val="0017665F"/>
    <w:rsid w:val="001A71E5"/>
    <w:rsid w:val="001B0A07"/>
    <w:rsid w:val="001D1C65"/>
    <w:rsid w:val="001D3E18"/>
    <w:rsid w:val="001E5F19"/>
    <w:rsid w:val="001F67A4"/>
    <w:rsid w:val="001F67DF"/>
    <w:rsid w:val="00203F94"/>
    <w:rsid w:val="0020776B"/>
    <w:rsid w:val="00207C71"/>
    <w:rsid w:val="00212902"/>
    <w:rsid w:val="00215CE9"/>
    <w:rsid w:val="00217AD9"/>
    <w:rsid w:val="00223462"/>
    <w:rsid w:val="002325CC"/>
    <w:rsid w:val="00243E57"/>
    <w:rsid w:val="002517E2"/>
    <w:rsid w:val="0025436B"/>
    <w:rsid w:val="00266309"/>
    <w:rsid w:val="002D3F14"/>
    <w:rsid w:val="002D4217"/>
    <w:rsid w:val="003068A2"/>
    <w:rsid w:val="00345B12"/>
    <w:rsid w:val="003473CD"/>
    <w:rsid w:val="00354664"/>
    <w:rsid w:val="003746C0"/>
    <w:rsid w:val="0039575F"/>
    <w:rsid w:val="003A0745"/>
    <w:rsid w:val="003A39A8"/>
    <w:rsid w:val="003C3482"/>
    <w:rsid w:val="003C4FC6"/>
    <w:rsid w:val="003C6933"/>
    <w:rsid w:val="003F3830"/>
    <w:rsid w:val="00400EB8"/>
    <w:rsid w:val="004104DB"/>
    <w:rsid w:val="00412C00"/>
    <w:rsid w:val="00417FF6"/>
    <w:rsid w:val="004329D7"/>
    <w:rsid w:val="00442B9A"/>
    <w:rsid w:val="00444BB5"/>
    <w:rsid w:val="00453B8A"/>
    <w:rsid w:val="004666C1"/>
    <w:rsid w:val="00475C75"/>
    <w:rsid w:val="00476A6B"/>
    <w:rsid w:val="004A3514"/>
    <w:rsid w:val="004C25D4"/>
    <w:rsid w:val="004C5406"/>
    <w:rsid w:val="004C6D46"/>
    <w:rsid w:val="004E56A9"/>
    <w:rsid w:val="004F3DD5"/>
    <w:rsid w:val="0052461A"/>
    <w:rsid w:val="00524F4C"/>
    <w:rsid w:val="00527665"/>
    <w:rsid w:val="00531EC1"/>
    <w:rsid w:val="00544608"/>
    <w:rsid w:val="00550D8D"/>
    <w:rsid w:val="00551212"/>
    <w:rsid w:val="00554C87"/>
    <w:rsid w:val="00557EFE"/>
    <w:rsid w:val="00560F2A"/>
    <w:rsid w:val="00572446"/>
    <w:rsid w:val="0058395D"/>
    <w:rsid w:val="00585D9B"/>
    <w:rsid w:val="005910A4"/>
    <w:rsid w:val="005B1B2C"/>
    <w:rsid w:val="005D3055"/>
    <w:rsid w:val="005E282A"/>
    <w:rsid w:val="005F4C01"/>
    <w:rsid w:val="0060045B"/>
    <w:rsid w:val="006056D9"/>
    <w:rsid w:val="006103D9"/>
    <w:rsid w:val="00616EA1"/>
    <w:rsid w:val="006263BF"/>
    <w:rsid w:val="00627DBF"/>
    <w:rsid w:val="006312C4"/>
    <w:rsid w:val="006361C9"/>
    <w:rsid w:val="00650C64"/>
    <w:rsid w:val="00653713"/>
    <w:rsid w:val="00660F94"/>
    <w:rsid w:val="006727A6"/>
    <w:rsid w:val="00684083"/>
    <w:rsid w:val="006844BE"/>
    <w:rsid w:val="006916AA"/>
    <w:rsid w:val="006A681F"/>
    <w:rsid w:val="006B1179"/>
    <w:rsid w:val="006C5121"/>
    <w:rsid w:val="00707FDE"/>
    <w:rsid w:val="007123DD"/>
    <w:rsid w:val="007228A4"/>
    <w:rsid w:val="007258B9"/>
    <w:rsid w:val="007301D9"/>
    <w:rsid w:val="00752405"/>
    <w:rsid w:val="00764603"/>
    <w:rsid w:val="0076588A"/>
    <w:rsid w:val="007772DA"/>
    <w:rsid w:val="00780E6D"/>
    <w:rsid w:val="0078477E"/>
    <w:rsid w:val="00795370"/>
    <w:rsid w:val="007A7195"/>
    <w:rsid w:val="007B0931"/>
    <w:rsid w:val="007F13FC"/>
    <w:rsid w:val="0082017F"/>
    <w:rsid w:val="00830CD5"/>
    <w:rsid w:val="00842C27"/>
    <w:rsid w:val="00843ABC"/>
    <w:rsid w:val="00845092"/>
    <w:rsid w:val="00851F63"/>
    <w:rsid w:val="008626F9"/>
    <w:rsid w:val="00866898"/>
    <w:rsid w:val="00874A5C"/>
    <w:rsid w:val="00882C35"/>
    <w:rsid w:val="008A226D"/>
    <w:rsid w:val="008B296D"/>
    <w:rsid w:val="008B2A04"/>
    <w:rsid w:val="008C0D16"/>
    <w:rsid w:val="008F295B"/>
    <w:rsid w:val="00906238"/>
    <w:rsid w:val="009116CA"/>
    <w:rsid w:val="00917AF4"/>
    <w:rsid w:val="009248C1"/>
    <w:rsid w:val="00936AF4"/>
    <w:rsid w:val="009457BC"/>
    <w:rsid w:val="00957B64"/>
    <w:rsid w:val="00957E27"/>
    <w:rsid w:val="00965FC3"/>
    <w:rsid w:val="009836BB"/>
    <w:rsid w:val="00994741"/>
    <w:rsid w:val="009A632E"/>
    <w:rsid w:val="009B21EF"/>
    <w:rsid w:val="009B4964"/>
    <w:rsid w:val="009B4EBD"/>
    <w:rsid w:val="009B5B2F"/>
    <w:rsid w:val="009D440B"/>
    <w:rsid w:val="009D5060"/>
    <w:rsid w:val="00A1064F"/>
    <w:rsid w:val="00A10AC6"/>
    <w:rsid w:val="00A22380"/>
    <w:rsid w:val="00A2349E"/>
    <w:rsid w:val="00A31980"/>
    <w:rsid w:val="00A45046"/>
    <w:rsid w:val="00A50450"/>
    <w:rsid w:val="00A658A0"/>
    <w:rsid w:val="00A96FB6"/>
    <w:rsid w:val="00AD70ED"/>
    <w:rsid w:val="00AF36A5"/>
    <w:rsid w:val="00AF3EBD"/>
    <w:rsid w:val="00AF4958"/>
    <w:rsid w:val="00B066F3"/>
    <w:rsid w:val="00B12F91"/>
    <w:rsid w:val="00B216D2"/>
    <w:rsid w:val="00B23E7D"/>
    <w:rsid w:val="00B33DA1"/>
    <w:rsid w:val="00B431A5"/>
    <w:rsid w:val="00B50775"/>
    <w:rsid w:val="00B62381"/>
    <w:rsid w:val="00B7187F"/>
    <w:rsid w:val="00B80C5A"/>
    <w:rsid w:val="00B82DAC"/>
    <w:rsid w:val="00B832DD"/>
    <w:rsid w:val="00B91B8B"/>
    <w:rsid w:val="00B9303D"/>
    <w:rsid w:val="00BA029B"/>
    <w:rsid w:val="00BC2D61"/>
    <w:rsid w:val="00BC67E0"/>
    <w:rsid w:val="00C12C9F"/>
    <w:rsid w:val="00C440D5"/>
    <w:rsid w:val="00C50224"/>
    <w:rsid w:val="00C54A5D"/>
    <w:rsid w:val="00C63EDF"/>
    <w:rsid w:val="00C67421"/>
    <w:rsid w:val="00C72A2F"/>
    <w:rsid w:val="00C76EB6"/>
    <w:rsid w:val="00C81548"/>
    <w:rsid w:val="00C8772A"/>
    <w:rsid w:val="00C901D0"/>
    <w:rsid w:val="00C9452A"/>
    <w:rsid w:val="00C95B20"/>
    <w:rsid w:val="00CA0D88"/>
    <w:rsid w:val="00CA5635"/>
    <w:rsid w:val="00CC5492"/>
    <w:rsid w:val="00D068E0"/>
    <w:rsid w:val="00D15690"/>
    <w:rsid w:val="00D373DF"/>
    <w:rsid w:val="00D42F83"/>
    <w:rsid w:val="00D52D41"/>
    <w:rsid w:val="00D62BF4"/>
    <w:rsid w:val="00D64A25"/>
    <w:rsid w:val="00D72026"/>
    <w:rsid w:val="00D84D2F"/>
    <w:rsid w:val="00D9542C"/>
    <w:rsid w:val="00DB0070"/>
    <w:rsid w:val="00DD64C1"/>
    <w:rsid w:val="00DE021A"/>
    <w:rsid w:val="00DE501C"/>
    <w:rsid w:val="00E00FD2"/>
    <w:rsid w:val="00E209BA"/>
    <w:rsid w:val="00E405D5"/>
    <w:rsid w:val="00E40ADA"/>
    <w:rsid w:val="00E44293"/>
    <w:rsid w:val="00E50C58"/>
    <w:rsid w:val="00E662F7"/>
    <w:rsid w:val="00E92118"/>
    <w:rsid w:val="00E97469"/>
    <w:rsid w:val="00EA70F0"/>
    <w:rsid w:val="00F043E2"/>
    <w:rsid w:val="00F26810"/>
    <w:rsid w:val="00F274D8"/>
    <w:rsid w:val="00F32EBB"/>
    <w:rsid w:val="00F64DF0"/>
    <w:rsid w:val="00F76031"/>
    <w:rsid w:val="00F96898"/>
    <w:rsid w:val="00FB687A"/>
    <w:rsid w:val="00FC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C4C11"/>
  <w15:docId w15:val="{329C9ABC-A849-4006-AEE4-6263713F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67" w:hanging="705"/>
    </w:pPr>
    <w:rPr>
      <w:rFonts w:ascii="Bookman Old Style" w:eastAsia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DB00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00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0070"/>
    <w:rPr>
      <w:vertAlign w:val="superscript"/>
    </w:rPr>
  </w:style>
  <w:style w:type="character" w:customStyle="1" w:styleId="lrzxr">
    <w:name w:val="lrzxr"/>
    <w:basedOn w:val="DefaultParagraphFont"/>
    <w:rsid w:val="00CA0D88"/>
  </w:style>
  <w:style w:type="character" w:customStyle="1" w:styleId="BodyTextChar">
    <w:name w:val="Body Text Char"/>
    <w:basedOn w:val="DefaultParagraphFont"/>
    <w:link w:val="BodyText"/>
    <w:uiPriority w:val="1"/>
    <w:rsid w:val="00E209BA"/>
    <w:rPr>
      <w:rFonts w:ascii="Bookman Old Style" w:eastAsia="Bookman Old Style" w:hAnsi="Bookman Old Styl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6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C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836BB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C44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0D5"/>
  </w:style>
  <w:style w:type="paragraph" w:styleId="Footer">
    <w:name w:val="footer"/>
    <w:basedOn w:val="Normal"/>
    <w:link w:val="FooterChar"/>
    <w:uiPriority w:val="99"/>
    <w:unhideWhenUsed/>
    <w:rsid w:val="00C44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0D5"/>
  </w:style>
  <w:style w:type="character" w:customStyle="1" w:styleId="DocInfo">
    <w:name w:val="DocInfo"/>
    <w:basedOn w:val="DefaultParagraphFont"/>
    <w:rsid w:val="00D84D2F"/>
    <w:rPr>
      <w:rFonts w:asciiTheme="minorHAnsi" w:eastAsiaTheme="minorHAnsi" w:hAnsiTheme="minorHAnsi" w:cstheme="minorBidi"/>
      <w:sz w:val="16"/>
      <w:szCs w:val="22"/>
    </w:rPr>
  </w:style>
  <w:style w:type="character" w:styleId="Hyperlink">
    <w:name w:val="Hyperlink"/>
    <w:basedOn w:val="DefaultParagraphFont"/>
    <w:uiPriority w:val="99"/>
    <w:unhideWhenUsed/>
    <w:rsid w:val="00217A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awg.aero/wp-content/uploads/2024/08/2024-Aircraft-Assignment-and-Assumption-Agreement76571400.2.docx" TargetMode="External"/><Relationship Id="rId4" Type="http://schemas.openxmlformats.org/officeDocument/2006/relationships/styles" Target="styles.xml"/><Relationship Id="rId9" Type="http://schemas.openxmlformats.org/officeDocument/2006/relationships/hyperlink" Target="http://awg.aero/wp-content/uploads/2024/08/2024-Aircraft-Lease-Novation-and-Amendment-Agreement75433530.3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 E U R O P E ! 7 5 0 6 2 7 4 2 . 6 < / d o c u m e n t i d >  
     < s e n d e r i d > W E A A 1 < / s e n d e r i d >  
     < s e n d e r e m a i l > A W E A L @ W F W . C O M < / s e n d e r e m a i l >  
     < l a s t m o d i f i e d > 2 0 2 4 - 0 6 - 2 0 T 0 9 : 2 3 : 0 0 . 0 0 0 0 0 0 0 + 0 1 : 0 0 < / l a s t m o d i f i e d >  
     < d a t a b a s e > E U R O P E < / d a t a b a s e >  
 < / p r o p e r t i e s > 
</file>

<file path=customXml/itemProps1.xml><?xml version="1.0" encoding="utf-8"?>
<ds:datastoreItem xmlns:ds="http://schemas.openxmlformats.org/officeDocument/2006/customXml" ds:itemID="{6FAD5D5C-02E5-4C7E-ACED-01C796AF5B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9859B7-D77C-0E43-A28B-4C2AAAB9F747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Ruelas</dc:creator>
  <cp:lastModifiedBy>Karla Baston</cp:lastModifiedBy>
  <cp:revision>9</cp:revision>
  <dcterms:created xsi:type="dcterms:W3CDTF">2024-06-20T08:22:00Z</dcterms:created>
  <dcterms:modified xsi:type="dcterms:W3CDTF">2024-08-09T14:06:00Z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LastSaved">
    <vt:filetime>2022-04-20T00:00:00Z</vt:filetime>
  </property>
  <property fmtid="{D5CDD505-2E9C-101B-9397-08002B2CF9AE}" pid="4" name="x.imProfileCustom2">
    <vt:lpwstr>07014458</vt:lpwstr>
  </property>
  <property fmtid="{D5CDD505-2E9C-101B-9397-08002B2CF9AE}" pid="5" name="iManageFooter">
    <vt:lpwstr>#75062742v5&lt;EUROPE&gt; - Draft - AWG - Aircraft Trading Principles Possible Compromise - Jan 2024</vt:lpwstr>
  </property>
</Properties>
</file>