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D757" w14:textId="77777777" w:rsidR="00244D0D" w:rsidRDefault="009C290D" w:rsidP="009C290D">
      <w:pPr>
        <w:rPr>
          <w:rFonts w:ascii="Bookman Old Style" w:hAnsi="Bookman Old Style"/>
          <w:b/>
          <w:bCs/>
          <w:sz w:val="24"/>
          <w:szCs w:val="24"/>
          <w:lang w:val="en-US"/>
        </w:rPr>
      </w:pPr>
      <w:r w:rsidRPr="0098199C">
        <w:rPr>
          <w:rFonts w:ascii="Bookman Old Style" w:hAnsi="Bookman Old Style"/>
          <w:noProof/>
          <w:sz w:val="24"/>
          <w:szCs w:val="24"/>
          <w:lang w:eastAsia="es-MX"/>
        </w:rPr>
        <w:drawing>
          <wp:anchor distT="0" distB="0" distL="114300" distR="114300" simplePos="0" relativeHeight="251660288" behindDoc="1" locked="0" layoutInCell="1" allowOverlap="1" wp14:anchorId="5D74D8B9" wp14:editId="5D74D8BA">
            <wp:simplePos x="0" y="0"/>
            <wp:positionH relativeFrom="page">
              <wp:posOffset>11875</wp:posOffset>
            </wp:positionH>
            <wp:positionV relativeFrom="paragraph">
              <wp:posOffset>-899795</wp:posOffset>
            </wp:positionV>
            <wp:extent cx="7742888" cy="1104405"/>
            <wp:effectExtent l="0" t="0" r="0" b="635"/>
            <wp:wrapNone/>
            <wp:docPr id="5"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0569" cy="110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9C">
        <w:rPr>
          <w:rFonts w:ascii="Bookman Old Style" w:hAnsi="Bookman Old Style"/>
          <w:sz w:val="20"/>
          <w:szCs w:val="20"/>
          <w:lang w:val="en-US"/>
        </w:rPr>
        <w:br/>
      </w:r>
      <w:r w:rsidRPr="0098199C">
        <w:rPr>
          <w:rFonts w:ascii="Bookman Old Style" w:hAnsi="Bookman Old Style"/>
          <w:sz w:val="20"/>
          <w:szCs w:val="20"/>
          <w:lang w:val="en-US"/>
        </w:rPr>
        <w:br/>
      </w:r>
      <w:r>
        <w:rPr>
          <w:rFonts w:ascii="Bookman Old Style" w:hAnsi="Bookman Old Style"/>
          <w:b/>
          <w:bCs/>
          <w:sz w:val="24"/>
          <w:szCs w:val="24"/>
          <w:u w:val="single"/>
          <w:lang w:val="en-US"/>
        </w:rPr>
        <w:br/>
      </w:r>
    </w:p>
    <w:p w14:paraId="5D74D758" w14:textId="4646DE92" w:rsidR="00244D0D" w:rsidRDefault="00E939BF" w:rsidP="009C290D">
      <w:pPr>
        <w:rPr>
          <w:rFonts w:ascii="Bookman Old Style" w:hAnsi="Bookman Old Style"/>
          <w:b/>
          <w:bCs/>
          <w:sz w:val="24"/>
          <w:szCs w:val="24"/>
          <w:lang w:val="en-US"/>
        </w:rPr>
      </w:pPr>
      <w:r>
        <w:rPr>
          <w:rFonts w:ascii="Bookman Old Style" w:hAnsi="Bookman Old Style"/>
          <w:b/>
          <w:bCs/>
          <w:sz w:val="24"/>
          <w:szCs w:val="24"/>
          <w:lang w:val="en-US"/>
        </w:rPr>
        <w:br/>
      </w:r>
    </w:p>
    <w:p w14:paraId="5D74D759" w14:textId="77777777" w:rsidR="009C290D" w:rsidRDefault="009C290D" w:rsidP="00244D0D">
      <w:pPr>
        <w:jc w:val="both"/>
        <w:rPr>
          <w:rFonts w:ascii="Bookman Old Style" w:hAnsi="Bookman Old Style"/>
          <w:b/>
          <w:bCs/>
          <w:sz w:val="24"/>
          <w:szCs w:val="24"/>
          <w:lang w:val="en-US"/>
        </w:rPr>
      </w:pPr>
      <w:r w:rsidRPr="006C2F07">
        <w:rPr>
          <w:rFonts w:ascii="Bookman Old Style" w:hAnsi="Bookman Old Style"/>
          <w:b/>
          <w:bCs/>
          <w:sz w:val="24"/>
          <w:szCs w:val="24"/>
          <w:lang w:val="en-US"/>
        </w:rPr>
        <w:br/>
      </w:r>
      <w:r>
        <w:rPr>
          <w:rFonts w:ascii="Bookman Old Style" w:hAnsi="Bookman Old Style"/>
          <w:b/>
          <w:bCs/>
          <w:sz w:val="24"/>
          <w:szCs w:val="24"/>
          <w:lang w:val="en-US"/>
        </w:rPr>
        <w:t>T</w:t>
      </w:r>
      <w:bookmarkStart w:id="0" w:name="_GoBack"/>
      <w:bookmarkEnd w:id="0"/>
      <w:r>
        <w:rPr>
          <w:rFonts w:ascii="Bookman Old Style" w:hAnsi="Bookman Old Style"/>
          <w:b/>
          <w:bCs/>
          <w:sz w:val="24"/>
          <w:szCs w:val="24"/>
          <w:lang w:val="en-US"/>
        </w:rPr>
        <w:t>his new and improved short form of model legislation relating</w:t>
      </w:r>
      <w:r w:rsidR="00244D0D">
        <w:rPr>
          <w:rFonts w:ascii="Bookman Old Style" w:hAnsi="Bookman Old Style"/>
          <w:b/>
          <w:bCs/>
          <w:sz w:val="24"/>
          <w:szCs w:val="24"/>
          <w:lang w:val="en-US"/>
        </w:rPr>
        <w:t xml:space="preserve"> to the ratification </w:t>
      </w:r>
      <w:r>
        <w:rPr>
          <w:rFonts w:ascii="Bookman Old Style" w:hAnsi="Bookman Old Style"/>
          <w:b/>
          <w:bCs/>
          <w:sz w:val="24"/>
          <w:szCs w:val="24"/>
          <w:lang w:val="en-US"/>
        </w:rPr>
        <w:t xml:space="preserve">and accession of the Cape Town Convention on International Interests in Mobile Equipment and Protocol thereto on Matters specific to Aircraft Equipment, has been </w:t>
      </w:r>
      <w:r w:rsidRPr="009C290D">
        <w:rPr>
          <w:rFonts w:ascii="Bookman Old Style" w:hAnsi="Bookman Old Style"/>
          <w:b/>
          <w:bCs/>
          <w:sz w:val="24"/>
          <w:szCs w:val="24"/>
          <w:lang w:val="en-US"/>
        </w:rPr>
        <w:t xml:space="preserve">prepared </w:t>
      </w:r>
      <w:r w:rsidR="00244D0D">
        <w:rPr>
          <w:rFonts w:ascii="Bookman Old Style" w:hAnsi="Bookman Old Style"/>
          <w:b/>
          <w:bCs/>
          <w:sz w:val="24"/>
          <w:szCs w:val="24"/>
          <w:lang w:val="en-US"/>
        </w:rPr>
        <w:t xml:space="preserve">by the </w:t>
      </w:r>
      <w:r w:rsidRPr="009C290D">
        <w:rPr>
          <w:rFonts w:ascii="Bookman Old Style" w:hAnsi="Bookman Old Style"/>
          <w:b/>
          <w:bCs/>
          <w:sz w:val="24"/>
          <w:szCs w:val="24"/>
          <w:lang w:val="en-US"/>
        </w:rPr>
        <w:t>Aviation Working Group for cons</w:t>
      </w:r>
      <w:r w:rsidR="0014681E">
        <w:rPr>
          <w:rFonts w:ascii="Bookman Old Style" w:hAnsi="Bookman Old Style"/>
          <w:b/>
          <w:bCs/>
          <w:sz w:val="24"/>
          <w:szCs w:val="24"/>
          <w:lang w:val="en-US"/>
        </w:rPr>
        <w:t>ideration and technical use by c</w:t>
      </w:r>
      <w:r w:rsidRPr="009C290D">
        <w:rPr>
          <w:rFonts w:ascii="Bookman Old Style" w:hAnsi="Bookman Old Style"/>
          <w:b/>
          <w:bCs/>
          <w:sz w:val="24"/>
          <w:szCs w:val="24"/>
          <w:lang w:val="en-US"/>
        </w:rPr>
        <w:t>ountries and others involved in the ratification of</w:t>
      </w:r>
      <w:r w:rsidR="00244D0D">
        <w:rPr>
          <w:rFonts w:ascii="Bookman Old Style" w:hAnsi="Bookman Old Style"/>
          <w:b/>
          <w:bCs/>
          <w:sz w:val="24"/>
          <w:szCs w:val="24"/>
          <w:lang w:val="en-US"/>
        </w:rPr>
        <w:t xml:space="preserve">, </w:t>
      </w:r>
      <w:r w:rsidRPr="009C290D">
        <w:rPr>
          <w:rFonts w:ascii="Bookman Old Style" w:hAnsi="Bookman Old Style"/>
          <w:b/>
          <w:bCs/>
          <w:sz w:val="24"/>
          <w:szCs w:val="24"/>
          <w:lang w:val="en-US"/>
        </w:rPr>
        <w:t>or accession to</w:t>
      </w:r>
      <w:r w:rsidR="00244D0D">
        <w:rPr>
          <w:rFonts w:ascii="Bookman Old Style" w:hAnsi="Bookman Old Style"/>
          <w:b/>
          <w:bCs/>
          <w:sz w:val="24"/>
          <w:szCs w:val="24"/>
          <w:lang w:val="en-US"/>
        </w:rPr>
        <w:t>,</w:t>
      </w:r>
      <w:r w:rsidRPr="009C290D">
        <w:rPr>
          <w:rFonts w:ascii="Bookman Old Style" w:hAnsi="Bookman Old Style"/>
          <w:b/>
          <w:bCs/>
          <w:sz w:val="24"/>
          <w:szCs w:val="24"/>
          <w:lang w:val="en-US"/>
        </w:rPr>
        <w:t xml:space="preserve"> the Cape Town Conv</w:t>
      </w:r>
      <w:r w:rsidR="00244D0D">
        <w:rPr>
          <w:rFonts w:ascii="Bookman Old Style" w:hAnsi="Bookman Old Style"/>
          <w:b/>
          <w:bCs/>
          <w:sz w:val="24"/>
          <w:szCs w:val="24"/>
          <w:lang w:val="en-US"/>
        </w:rPr>
        <w:t xml:space="preserve">ention and the </w:t>
      </w:r>
      <w:r>
        <w:rPr>
          <w:rFonts w:ascii="Bookman Old Style" w:hAnsi="Bookman Old Style"/>
          <w:b/>
          <w:bCs/>
          <w:sz w:val="24"/>
          <w:szCs w:val="24"/>
          <w:lang w:val="en-US"/>
        </w:rPr>
        <w:t xml:space="preserve">Protocol thereto. </w:t>
      </w:r>
    </w:p>
    <w:p w14:paraId="5D74D75A" w14:textId="77777777" w:rsidR="00E939BF" w:rsidRDefault="00E939BF" w:rsidP="00244D0D">
      <w:pPr>
        <w:jc w:val="both"/>
        <w:rPr>
          <w:lang w:val="en-US"/>
        </w:rPr>
      </w:pPr>
      <w:r>
        <w:rPr>
          <w:rFonts w:ascii="Bookman Old Style" w:hAnsi="Bookman Old Style"/>
          <w:b/>
          <w:bCs/>
          <w:noProof/>
          <w:sz w:val="24"/>
          <w:szCs w:val="24"/>
          <w:u w:val="single"/>
          <w:lang w:eastAsia="es-MX"/>
        </w:rPr>
        <mc:AlternateContent>
          <mc:Choice Requires="wps">
            <w:drawing>
              <wp:anchor distT="0" distB="0" distL="114300" distR="114300" simplePos="0" relativeHeight="251661312" behindDoc="1" locked="0" layoutInCell="1" allowOverlap="1" wp14:anchorId="5D74D8BB" wp14:editId="5D74D8BC">
                <wp:simplePos x="0" y="0"/>
                <wp:positionH relativeFrom="margin">
                  <wp:posOffset>-581025</wp:posOffset>
                </wp:positionH>
                <wp:positionV relativeFrom="paragraph">
                  <wp:posOffset>438785</wp:posOffset>
                </wp:positionV>
                <wp:extent cx="6772275" cy="1816735"/>
                <wp:effectExtent l="57150" t="57150" r="47625" b="50165"/>
                <wp:wrapNone/>
                <wp:docPr id="4" name="Rectángulo 4"/>
                <wp:cNvGraphicFramePr/>
                <a:graphic xmlns:a="http://schemas.openxmlformats.org/drawingml/2006/main">
                  <a:graphicData uri="http://schemas.microsoft.com/office/word/2010/wordprocessingShape">
                    <wps:wsp>
                      <wps:cNvSpPr/>
                      <wps:spPr>
                        <a:xfrm>
                          <a:off x="0" y="0"/>
                          <a:ext cx="6772275" cy="1816735"/>
                        </a:xfrm>
                        <a:prstGeom prst="rect">
                          <a:avLst/>
                        </a:prstGeom>
                        <a:solidFill>
                          <a:schemeClr val="accent5">
                            <a:lumMod val="20000"/>
                            <a:lumOff val="80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DD15" id="Rectángulo 4" o:spid="_x0000_s1026" style="position:absolute;margin-left:-45.75pt;margin-top:34.55pt;width:533.25pt;height:14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xb4QIAADUGAAAOAAAAZHJzL2Uyb0RvYy54bWysVM1u2zAMvg/YOwi6r47TpOmCOkXQIsOA&#10;rg3aDj0rshwLkEWNUn66t9mz7MVGyY4bdN0Owy62xJ+P5CeSF5f7xrCtQq/BFjw/GXCmrIRS23XB&#10;vz4uPpxz5oOwpTBgVcGfleeXs/fvLnZuqoZQgykVMgKxfrpzBa9DcNMs87JWjfAn4JQlZQXYiEBX&#10;XGclih2hNyYbDgZn2Q6wdAhSeU/S61bJZwm/qpQMd1XlVWCm4JRbSF9M31X8ZrMLMV2jcLWWXRri&#10;H7JohLYUtIe6FkGwDerfoBotETxU4URCk0FVaalSDVRNPnhVzUMtnEq1EDne9TT5/wcrb7dLZLos&#10;+IgzKxp6onsi7ecPu94YYKNI0M75Kdk9uCV2N0/HWO2+wib+qQ62T6Q+96SqfWCShGeTyXA4GXMm&#10;SZef52eT03FEzV7cHfrwSUHD4qHgSAkkMsX2xofW9GASo3kwulxoY9Ildoq6Msi2gt5YSKlsGCd3&#10;s2m+QNnKqVcG3WuTmHqiFZ8fxJRN6rmIlHJ7FURZdVrGeJI4QtFlChhq6LpngWBD209Gr+twr9cM&#10;NU1BqFGpZeCs1NR4ySRF6yG9a6FXaqvMYwftDfV+x1NrkMV3aJlPp/BsVMzI2HtV0RMS18NUd1/I&#10;MSV5q6pFqVrx+I+lJ8CIXBHHPXYH8BbdeZdnZx9dVZq93nnwt8TaF+49UmTisndutAV8C8CEPnJr&#10;Ty93RE08rqB8pgZHaCffO7nQ1GQ3woelQBp1Wgq0vsIdfSoDu4JDd+KsBvz+ljza0wSSlrMdrY6C&#10;+28bgYoz89nSbH7MR6O4a9JlNJ4M6YLHmtWxxm6aK6DOzWlROpmO0T6Yw7FCaJ5oy81jVFIJKyl2&#10;wWXAw+UqtCuN9qRU83kyo/3iRLixD05G8MhqHKLH/ZNA1zVZoCG9hcOaEdNXA9faRk8L802ASqdp&#10;fOG145t2U5qZbhLi8ju+J6uXbT/7BQAA//8DAFBLAwQUAAYACAAAACEADhSiSuIAAAAKAQAADwAA&#10;AGRycy9kb3ducmV2LnhtbEyPy07DMBBF90j8gzVI7FonRSkkZFIhEAvUDX2wYDeN3SRqbEexm6R8&#10;PcOqLEdzdO+5+WoyrRh07xtnEeJ5BELb0qnGVgj73fvsCYQPZBW1zmqEi/awKm5vcsqUG+1GD9tQ&#10;CQ6xPiOEOoQuk9KXtTbk567Tln9H1xsKfPaVVD2NHG5auYiipTTUWG6oqdOvtS5P27NB+FrTx24z&#10;fnc/n25frd8uR3MaBsT7u+nlGUTQU7jC8KfP6lCw08GdrfKiRZilccIowjKNQTCQPiY87oDwkCQL&#10;kEUu/08ofgEAAP//AwBQSwECLQAUAAYACAAAACEAtoM4kv4AAADhAQAAEwAAAAAAAAAAAAAAAAAA&#10;AAAAW0NvbnRlbnRfVHlwZXNdLnhtbFBLAQItABQABgAIAAAAIQA4/SH/1gAAAJQBAAALAAAAAAAA&#10;AAAAAAAAAC8BAABfcmVscy8ucmVsc1BLAQItABQABgAIAAAAIQBOHdxb4QIAADUGAAAOAAAAAAAA&#10;AAAAAAAAAC4CAABkcnMvZTJvRG9jLnhtbFBLAQItABQABgAIAAAAIQAOFKJK4gAAAAoBAAAPAAAA&#10;AAAAAAAAAAAAADsFAABkcnMvZG93bnJldi54bWxQSwUGAAAAAAQABADzAAAASgYAAAAA&#10;" fillcolor="#d9e2f3 [664]" strokecolor="#1f4d78 [1604]" strokeweight="1pt">
                <w10:wrap anchorx="margin"/>
              </v:rect>
            </w:pict>
          </mc:Fallback>
        </mc:AlternateContent>
      </w:r>
      <w:r w:rsidRPr="008720FC">
        <w:rPr>
          <w:rFonts w:ascii="Bookman Old Style" w:hAnsi="Bookman Old Style"/>
          <w:b/>
          <w:bCs/>
          <w:noProof/>
          <w:sz w:val="24"/>
          <w:szCs w:val="24"/>
          <w:u w:val="single"/>
          <w:lang w:eastAsia="es-MX"/>
        </w:rPr>
        <mc:AlternateContent>
          <mc:Choice Requires="wps">
            <w:drawing>
              <wp:anchor distT="45720" distB="45720" distL="114300" distR="114300" simplePos="0" relativeHeight="251659264" behindDoc="0" locked="0" layoutInCell="1" allowOverlap="1" wp14:anchorId="5D74D8BD" wp14:editId="5D74D8BE">
                <wp:simplePos x="0" y="0"/>
                <wp:positionH relativeFrom="margin">
                  <wp:posOffset>-514350</wp:posOffset>
                </wp:positionH>
                <wp:positionV relativeFrom="paragraph">
                  <wp:posOffset>492695</wp:posOffset>
                </wp:positionV>
                <wp:extent cx="6637020" cy="16738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4D8BD" id="_x0000_t202" coordsize="21600,21600" o:spt="202" path="m,l,21600r21600,l21600,xe">
                <v:stroke joinstyle="miter"/>
                <v:path gradientshapeok="t" o:connecttype="rect"/>
              </v:shapetype>
              <v:shape id="Cuadro de texto 2" o:spid="_x0000_s1026" type="#_x0000_t202" style="position:absolute;left:0;text-align:left;margin-left:-40.5pt;margin-top:38.8pt;width:522.6pt;height:13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UdQgIAAGMEAAAOAAAAZHJzL2Uyb0RvYy54bWysVNtu2zAMfR+wfxD0vjhJc2mNOEWXrsOA&#10;7gJ0+wBGkmNhkuhJSuzs60fJaZptb8NeDImkDsnDQ69ue2vYQfmg0VV8MhpzppxAqd2u4t++Pry5&#10;5ixEcBIMOlXxowr8dv361aprSzXFBo1UnhGIC2XXVryJsS2LIohGWQgjbJUjZ43eQqSr3xXSQ0fo&#10;1hTT8XhRdOhl61GoEMh6Pzj5OuPXtRLxc10HFZmpONUW89fn7zZ9i/UKyp2HttHiVAb8QxUWtKOk&#10;Z6h7iMD2Xv8FZbXwGLCOI4G2wLrWQuUeqJvJ+I9unhpoVe6FyAntmabw/2DFp8MXz7Ss+HSy5MyB&#10;pSFt9iA9MqlYVH1ENk00dW0oKfqppfjYv8Wexp1bDu0jiu+BOdw04HbqznvsGgWSypykl8XF0wEn&#10;JJBt9xElZYN9xAzU194mDokVRug0ruN5RFQHE2RcLK6W4ym5BPkmi+XV9SIPsYDy+XnrQ3yv0LJ0&#10;qLgnDWR4ODyGmMqB8jkkZQtotHzQxuRL0p3aGM8OQIoBIZSL8/zc7C3VO9hJeeOTdshMChvM189m&#10;SpEVnJBywt+SGMe6it/MpwOww5Q9C9HqSNtgtK14xjrlSGS+czKHRNBmOFMS407sJkIHamO/7Skw&#10;Ub5FeSSePQ6qpy2lQ4P+J2cdKb7i4ccevOLMfHA0q5vJbJZWJF9m82Vi2V96tpcecIKgKh45G46b&#10;mNcqsejwjmZa68z2SyWnWknJmZPT1qVVubznqJd/w/oXAAAA//8DAFBLAwQUAAYACAAAACEAzKtr&#10;gOEAAAAKAQAADwAAAGRycy9kb3ducmV2LnhtbEyPzU7DMBCE70i8g7WVuLVO0igtaZwKIaVcECqF&#10;B9gm2ziqfyLbbQNPjznBcTSjmW+q7aQVu5LzgzUC0kUCjExru8H0Aj4/mvkamA9oOlTWkIAv8rCt&#10;7+8qLDt7M+90PYSexRLjSxQgQxhLzn0rSaNf2JFM9E7WaQxRup53Dm+xXCueJUnBNQ4mLkgc6VlS&#10;ez5ctICznPan3Ytzyx1+N2+vVjV9roR4mE1PG2CBpvAXhl/8iA51ZDrai+k8UwLm6zR+CQJWqwJY&#10;DDwWeQbsKGCZpxnwuuL/L9Q/AAAA//8DAFBLAQItABQABgAIAAAAIQC2gziS/gAAAOEBAAATAAAA&#10;AAAAAAAAAAAAAAAAAABbQ29udGVudF9UeXBlc10ueG1sUEsBAi0AFAAGAAgAAAAhADj9If/WAAAA&#10;lAEAAAsAAAAAAAAAAAAAAAAALwEAAF9yZWxzLy5yZWxzUEsBAi0AFAAGAAgAAAAhAEGU5R1CAgAA&#10;YwQAAA4AAAAAAAAAAAAAAAAALgIAAGRycy9lMm9Eb2MueG1sUEsBAi0AFAAGAAgAAAAhAMyra4Dh&#10;AAAACgEAAA8AAAAAAAAAAAAAAAAAnAQAAGRycy9kb3ducmV2LnhtbFBLBQYAAAAABAAEAPMAAACq&#10;BQAAAAA=&#10;" fillcolor="#d9e2f3 [664]" stroked="f">
                <v:textbox>
                  <w:txbxContent>
                    <w:p w14:paraId="5D74D8BF" w14:textId="77777777" w:rsidR="009C290D" w:rsidRDefault="009C290D" w:rsidP="009C290D">
                      <w:pPr>
                        <w:rPr>
                          <w:rFonts w:ascii="Bookman Old Style" w:hAnsi="Bookman Old Style"/>
                          <w:sz w:val="56"/>
                          <w:szCs w:val="56"/>
                          <w:lang w:val="en-US"/>
                        </w:rPr>
                      </w:pPr>
                    </w:p>
                    <w:p w14:paraId="5D74D8C0" w14:textId="77777777" w:rsidR="009C290D" w:rsidRPr="00B614AF" w:rsidRDefault="009C290D" w:rsidP="009C290D">
                      <w:pPr>
                        <w:jc w:val="center"/>
                        <w:rPr>
                          <w:rFonts w:ascii="Bookman Old Style" w:hAnsi="Bookman Old Style"/>
                          <w:sz w:val="48"/>
                          <w:szCs w:val="48"/>
                          <w:lang w:val="en-US"/>
                        </w:rPr>
                      </w:pPr>
                      <w:r>
                        <w:rPr>
                          <w:rFonts w:ascii="Bookman Old Style" w:hAnsi="Bookman Old Style"/>
                          <w:sz w:val="48"/>
                          <w:szCs w:val="48"/>
                          <w:lang w:val="en-US"/>
                        </w:rPr>
                        <w:t>Short Form of Model Legislation</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v:textbox>
                <w10:wrap type="square" anchorx="margin"/>
              </v:shape>
            </w:pict>
          </mc:Fallback>
        </mc:AlternateContent>
      </w:r>
    </w:p>
    <w:p w14:paraId="5D74D75B" w14:textId="77777777" w:rsidR="00244D0D" w:rsidRPr="00E939BF" w:rsidRDefault="009C290D" w:rsidP="00E939BF">
      <w:pPr>
        <w:jc w:val="center"/>
        <w:rPr>
          <w:rFonts w:ascii="Bookman Old Style" w:hAnsi="Bookman Old Style"/>
          <w:b/>
          <w:bCs/>
          <w:sz w:val="24"/>
          <w:szCs w:val="24"/>
          <w:u w:val="single"/>
          <w:lang w:val="en-US"/>
        </w:rPr>
      </w:pPr>
      <w:r>
        <w:rPr>
          <w:rFonts w:ascii="Bookman Old Style" w:hAnsi="Bookman Old Style"/>
          <w:b/>
          <w:bCs/>
          <w:sz w:val="24"/>
          <w:szCs w:val="24"/>
          <w:u w:val="single"/>
          <w:lang w:val="en-US"/>
        </w:rPr>
        <w:br/>
      </w:r>
    </w:p>
    <w:p w14:paraId="5D74D75C" w14:textId="77777777" w:rsidR="00244D0D" w:rsidRPr="00244D0D" w:rsidRDefault="00244D0D" w:rsidP="009C290D">
      <w:pPr>
        <w:jc w:val="both"/>
        <w:rPr>
          <w:rFonts w:ascii="Bookman Old Style" w:hAnsi="Bookman Old Style"/>
          <w:sz w:val="24"/>
          <w:szCs w:val="24"/>
          <w:lang w:val="en-US"/>
        </w:rPr>
      </w:pPr>
      <w:r>
        <w:rPr>
          <w:rFonts w:ascii="Bookman Old Style" w:hAnsi="Bookman Old Style"/>
          <w:sz w:val="24"/>
          <w:szCs w:val="24"/>
          <w:lang w:val="en-GB"/>
        </w:rPr>
        <w:t xml:space="preserve">The Aviation Working Group continues advising states on the </w:t>
      </w:r>
      <w:r w:rsidRPr="00244D0D">
        <w:rPr>
          <w:rFonts w:ascii="Bookman Old Style" w:hAnsi="Bookman Old Style"/>
          <w:sz w:val="24"/>
          <w:szCs w:val="24"/>
          <w:lang w:val="en-GB"/>
        </w:rPr>
        <w:t xml:space="preserve">effective implementation of the Cape Town Convention through the </w:t>
      </w:r>
      <w:hyperlink r:id="rId5" w:tgtFrame="_blank" w:history="1">
        <w:r w:rsidRPr="00244D0D">
          <w:rPr>
            <w:rFonts w:ascii="Bookman Old Style" w:hAnsi="Bookman Old Style"/>
            <w:sz w:val="24"/>
            <w:szCs w:val="24"/>
            <w:lang w:val="en-GB"/>
          </w:rPr>
          <w:t>qualifying declarations</w:t>
        </w:r>
      </w:hyperlink>
      <w:r>
        <w:rPr>
          <w:rFonts w:ascii="Bookman Old Style" w:hAnsi="Bookman Old Style"/>
          <w:sz w:val="24"/>
          <w:szCs w:val="24"/>
          <w:lang w:val="en-GB"/>
        </w:rPr>
        <w:t xml:space="preserve">, assuring force of law, and </w:t>
      </w:r>
      <w:r w:rsidRPr="00244D0D">
        <w:rPr>
          <w:rFonts w:ascii="Bookman Old Style" w:hAnsi="Bookman Old Style"/>
          <w:sz w:val="24"/>
          <w:szCs w:val="24"/>
          <w:lang w:val="en-GB"/>
        </w:rPr>
        <w:t xml:space="preserve">to the </w:t>
      </w:r>
      <w:r w:rsidR="0014681E">
        <w:rPr>
          <w:rFonts w:ascii="Bookman Old Style" w:hAnsi="Bookman Old Style"/>
          <w:sz w:val="24"/>
          <w:szCs w:val="24"/>
          <w:lang w:val="en-GB"/>
        </w:rPr>
        <w:t>extent of any conflict, prevalence of the Convention over other domestic laws.</w:t>
      </w:r>
    </w:p>
    <w:p w14:paraId="5D74D75D" w14:textId="77777777" w:rsidR="009C290D" w:rsidRDefault="009C290D" w:rsidP="009C290D">
      <w:pPr>
        <w:jc w:val="both"/>
        <w:rPr>
          <w:rFonts w:ascii="Bookman Old Style" w:hAnsi="Bookman Old Style"/>
          <w:sz w:val="24"/>
          <w:szCs w:val="24"/>
          <w:lang w:val="en-GB"/>
        </w:rPr>
      </w:pPr>
    </w:p>
    <w:p w14:paraId="5D74D75E" w14:textId="17EFA832" w:rsidR="009C290D" w:rsidRPr="00AD0079" w:rsidRDefault="0014681E" w:rsidP="009C290D">
      <w:pPr>
        <w:jc w:val="both"/>
        <w:rPr>
          <w:rFonts w:ascii="Bookman Old Style" w:hAnsi="Bookman Old Style"/>
          <w:sz w:val="24"/>
          <w:szCs w:val="24"/>
          <w:lang w:val="en-GB"/>
        </w:rPr>
      </w:pPr>
      <w:r>
        <w:rPr>
          <w:rFonts w:ascii="Bookman Old Style" w:hAnsi="Bookman Old Style"/>
          <w:sz w:val="24"/>
          <w:szCs w:val="24"/>
          <w:lang w:val="en-GB"/>
        </w:rPr>
        <w:t>The</w:t>
      </w:r>
      <w:r w:rsidR="00E939BF">
        <w:rPr>
          <w:rFonts w:ascii="Bookman Old Style" w:hAnsi="Bookman Old Style"/>
          <w:sz w:val="24"/>
          <w:szCs w:val="24"/>
          <w:lang w:val="en-GB"/>
        </w:rPr>
        <w:t xml:space="preserve"> document below includes the model: </w:t>
      </w:r>
      <w:r>
        <w:rPr>
          <w:rFonts w:ascii="Bookman Old Style" w:hAnsi="Bookman Old Style"/>
          <w:sz w:val="24"/>
          <w:szCs w:val="24"/>
          <w:lang w:val="en-GB"/>
        </w:rPr>
        <w:t>(i)</w:t>
      </w:r>
      <w:r w:rsidR="00E939BF">
        <w:rPr>
          <w:rFonts w:ascii="Bookman Old Style" w:hAnsi="Bookman Old Style"/>
          <w:sz w:val="24"/>
          <w:szCs w:val="24"/>
          <w:lang w:val="en-GB"/>
        </w:rPr>
        <w:t xml:space="preserve"> </w:t>
      </w:r>
      <w:r>
        <w:rPr>
          <w:rFonts w:ascii="Bookman Old Style" w:hAnsi="Bookman Old Style"/>
          <w:sz w:val="24"/>
          <w:szCs w:val="24"/>
          <w:lang w:val="en-GB"/>
        </w:rPr>
        <w:t>Act of Implementat</w:t>
      </w:r>
      <w:r w:rsidR="00E939BF">
        <w:rPr>
          <w:rFonts w:ascii="Bookman Old Style" w:hAnsi="Bookman Old Style"/>
          <w:sz w:val="24"/>
          <w:szCs w:val="24"/>
          <w:lang w:val="en-GB"/>
        </w:rPr>
        <w:t>ion of the Cape Town Convention, (ii) Declarations</w:t>
      </w:r>
      <w:r>
        <w:rPr>
          <w:rFonts w:ascii="Bookman Old Style" w:hAnsi="Bookman Old Style"/>
          <w:sz w:val="24"/>
          <w:szCs w:val="24"/>
          <w:lang w:val="en-GB"/>
        </w:rPr>
        <w:t xml:space="preserve"> to the Convention on International Interests in Mobile Equipment and Protocol thereto on Matters Specific to Aircraft Equipment and</w:t>
      </w:r>
      <w:r w:rsidR="00E939BF">
        <w:rPr>
          <w:rFonts w:ascii="Bookman Old Style" w:hAnsi="Bookman Old Style"/>
          <w:sz w:val="24"/>
          <w:szCs w:val="24"/>
          <w:lang w:val="en-GB"/>
        </w:rPr>
        <w:t xml:space="preserve">, (iii) </w:t>
      </w:r>
      <w:r>
        <w:rPr>
          <w:rFonts w:ascii="Bookman Old Style" w:hAnsi="Bookman Old Style"/>
          <w:sz w:val="24"/>
          <w:szCs w:val="24"/>
          <w:lang w:val="en-GB"/>
        </w:rPr>
        <w:t>Regulations of the corresponding Aviation Authority</w:t>
      </w:r>
      <w:r w:rsidR="00075BBE">
        <w:rPr>
          <w:rFonts w:ascii="Bookman Old Style" w:hAnsi="Bookman Old Style"/>
          <w:sz w:val="24"/>
          <w:szCs w:val="24"/>
          <w:lang w:val="en-GB"/>
        </w:rPr>
        <w:t>, including two forms of IDERA regulations these are: i) the short-form IDERA regulations contained under annexure 4</w:t>
      </w:r>
      <w:r w:rsidR="00161B0E">
        <w:rPr>
          <w:rFonts w:ascii="Bookman Old Style" w:hAnsi="Bookman Old Style"/>
          <w:sz w:val="24"/>
          <w:szCs w:val="24"/>
          <w:lang w:val="en-GB"/>
        </w:rPr>
        <w:t xml:space="preserve">. </w:t>
      </w:r>
      <w:r>
        <w:rPr>
          <w:rFonts w:ascii="Bookman Old Style" w:hAnsi="Bookman Old Style"/>
          <w:sz w:val="24"/>
          <w:szCs w:val="24"/>
          <w:lang w:val="en-GB"/>
        </w:rPr>
        <w:t xml:space="preserve"> </w:t>
      </w:r>
    </w:p>
    <w:p w14:paraId="5D74D75F" w14:textId="77777777" w:rsidR="00EE6C0B" w:rsidRDefault="00EE6C0B" w:rsidP="009C290D">
      <w:pPr>
        <w:rPr>
          <w:lang w:val="en-US"/>
        </w:rPr>
      </w:pPr>
    </w:p>
    <w:p w14:paraId="5D74D760" w14:textId="77777777" w:rsidR="00837658" w:rsidRPr="00FA4DB7" w:rsidRDefault="00837658" w:rsidP="00837658">
      <w:pPr>
        <w:keepNext/>
        <w:keepLines/>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AN ACT TO IMPLEMENT THE CAPE TOWN CONVENTION ON INTERNATIONAL INTERESTS IN MOBILE EQUIPMENT AND THE PROTOCOL THERETO ON MATTERS SPECIFIC TO AIRCRAFT EQUIPMENT</w:t>
      </w:r>
    </w:p>
    <w:p w14:paraId="5D74D761"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 xml:space="preserve">WHEREAS </w:t>
      </w:r>
      <w:r w:rsidRPr="00FA4DB7">
        <w:rPr>
          <w:rFonts w:ascii="Times New Roman" w:eastAsia="Times New Roman" w:hAnsi="Times New Roman"/>
          <w:lang w:val="en-GB"/>
        </w:rPr>
        <w:t>the Convention on International Interests in Mobile Equipment (‘</w:t>
      </w:r>
      <w:r w:rsidRPr="00FA4DB7">
        <w:rPr>
          <w:rFonts w:ascii="Times New Roman" w:eastAsia="Times New Roman" w:hAnsi="Times New Roman"/>
          <w:b/>
          <w:bCs/>
          <w:i/>
          <w:iCs/>
          <w:lang w:val="en-GB"/>
        </w:rPr>
        <w:t>the Convention</w:t>
      </w:r>
      <w:r w:rsidRPr="00FA4DB7">
        <w:rPr>
          <w:rFonts w:ascii="Times New Roman" w:eastAsia="Times New Roman" w:hAnsi="Times New Roman"/>
          <w:lang w:val="en-GB"/>
        </w:rPr>
        <w:t>’) and the Protocol thereto on Matters Specific to Aircraft Equipment (‘</w:t>
      </w:r>
      <w:r w:rsidRPr="00FA4DB7">
        <w:rPr>
          <w:rFonts w:ascii="Times New Roman" w:eastAsia="Times New Roman" w:hAnsi="Times New Roman"/>
          <w:b/>
          <w:bCs/>
          <w:i/>
          <w:iCs/>
          <w:lang w:val="en-GB"/>
        </w:rPr>
        <w:t>the Protocol</w:t>
      </w:r>
      <w:r w:rsidRPr="00FA4DB7">
        <w:rPr>
          <w:rFonts w:ascii="Times New Roman" w:eastAsia="Times New Roman" w:hAnsi="Times New Roman"/>
          <w:lang w:val="en-GB"/>
        </w:rPr>
        <w:t>’) were opened for signature at Cape Town 16 November 2001;</w:t>
      </w:r>
    </w:p>
    <w:p w14:paraId="5D74D762" w14:textId="105B567C"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WHEREAS</w:t>
      </w:r>
      <w:r w:rsidRPr="00FA4DB7">
        <w:rPr>
          <w:rFonts w:ascii="Times New Roman" w:eastAsia="Times New Roman" w:hAnsi="Times New Roman"/>
          <w:lang w:val="en-GB"/>
        </w:rPr>
        <w:t xml:space="preserve"> the </w:t>
      </w:r>
      <w:r w:rsidR="00ED4DCA">
        <w:rPr>
          <w:rFonts w:ascii="Times New Roman" w:eastAsia="Times New Roman" w:hAnsi="Times New Roman"/>
          <w:lang w:val="en-GB"/>
        </w:rPr>
        <w:t>Republic of Latvia</w:t>
      </w:r>
      <w:r w:rsidRPr="00FA4DB7">
        <w:rPr>
          <w:rFonts w:ascii="Times New Roman" w:eastAsia="Times New Roman" w:hAnsi="Times New Roman"/>
          <w:lang w:val="en-GB"/>
        </w:rPr>
        <w:t xml:space="preserve"> (‘</w:t>
      </w:r>
      <w:r w:rsidR="00ED4DCA">
        <w:rPr>
          <w:rFonts w:ascii="Times New Roman" w:eastAsia="Times New Roman" w:hAnsi="Times New Roman"/>
          <w:b/>
          <w:i/>
          <w:lang w:val="en-GB"/>
        </w:rPr>
        <w:t>Latvia</w:t>
      </w:r>
      <w:r w:rsidRPr="00FA4DB7">
        <w:rPr>
          <w:rFonts w:ascii="Times New Roman" w:eastAsia="Times New Roman" w:hAnsi="Times New Roman"/>
          <w:lang w:val="en-GB"/>
        </w:rPr>
        <w:t>’), considering these instruments in the interest of the country, as an element of the further development of its air transport sector, deposited its instruments of accession with UNIDROIT in accordance with Article 49 of the Convention and Article XXVIII of the Pr</w:t>
      </w:r>
      <w:r>
        <w:rPr>
          <w:rFonts w:ascii="Times New Roman" w:eastAsia="Times New Roman" w:hAnsi="Times New Roman"/>
          <w:lang w:val="en-GB"/>
        </w:rPr>
        <w:t>otocol on _______ 201</w:t>
      </w:r>
      <w:r w:rsidR="00161B0E">
        <w:rPr>
          <w:rFonts w:ascii="Times New Roman" w:eastAsia="Times New Roman" w:hAnsi="Times New Roman"/>
          <w:lang w:val="en-GB"/>
        </w:rPr>
        <w:t>8</w:t>
      </w:r>
      <w:r w:rsidRPr="00FA4DB7">
        <w:rPr>
          <w:rFonts w:ascii="Times New Roman" w:eastAsia="Times New Roman" w:hAnsi="Times New Roman"/>
          <w:lang w:val="en-GB"/>
        </w:rPr>
        <w:t>;</w:t>
      </w:r>
    </w:p>
    <w:p w14:paraId="5D74D763" w14:textId="4F3BF98A"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
          <w:bCs/>
          <w:lang w:val="en-GB"/>
        </w:rPr>
        <w:t>NOW, THEREFORE,</w:t>
      </w:r>
      <w:r w:rsidRPr="00FA4DB7">
        <w:rPr>
          <w:rFonts w:ascii="Times New Roman" w:eastAsia="Times New Roman" w:hAnsi="Times New Roman"/>
          <w:lang w:val="en-GB"/>
        </w:rPr>
        <w:t xml:space="preserve"> IT IS ENACTED by the </w:t>
      </w:r>
      <w:r w:rsidR="00ED4DCA">
        <w:rPr>
          <w:rFonts w:ascii="Times New Roman" w:eastAsia="Times New Roman" w:hAnsi="Times New Roman"/>
          <w:lang w:val="en-GB"/>
        </w:rPr>
        <w:t>Republic of Latvia</w:t>
      </w:r>
      <w:r w:rsidR="00161B0E">
        <w:rPr>
          <w:rFonts w:ascii="Times New Roman" w:eastAsia="Times New Roman" w:hAnsi="Times New Roman"/>
          <w:lang w:val="en-GB"/>
        </w:rPr>
        <w:t xml:space="preserve"> </w:t>
      </w:r>
      <w:r w:rsidRPr="00FA4DB7">
        <w:rPr>
          <w:rFonts w:ascii="Times New Roman" w:eastAsia="Times New Roman" w:hAnsi="Times New Roman"/>
          <w:lang w:val="en-GB"/>
        </w:rPr>
        <w:t>as follows:</w:t>
      </w:r>
    </w:p>
    <w:p w14:paraId="5D74D764"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SHORT TITLE</w:t>
      </w:r>
    </w:p>
    <w:p w14:paraId="5D74D765" w14:textId="77777777"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This Act may be cited as the International Interests in Mobile Equipment (aircraft equipment) Act of 2015 (‘</w:t>
      </w:r>
      <w:r w:rsidRPr="00FA4DB7">
        <w:rPr>
          <w:rFonts w:ascii="Times New Roman" w:eastAsia="Times New Roman" w:hAnsi="Times New Roman"/>
          <w:b/>
          <w:bCs/>
          <w:i/>
          <w:iCs/>
          <w:lang w:val="en-GB"/>
        </w:rPr>
        <w:t>this Act</w:t>
      </w:r>
      <w:r w:rsidRPr="00FA4DB7">
        <w:rPr>
          <w:rFonts w:ascii="Times New Roman" w:eastAsia="Times New Roman" w:hAnsi="Times New Roman"/>
          <w:lang w:val="en-GB"/>
        </w:rPr>
        <w:t>’).</w:t>
      </w:r>
    </w:p>
    <w:p w14:paraId="5D74D766"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PURPOSE</w:t>
      </w:r>
    </w:p>
    <w:p w14:paraId="5D74D767"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The purpose of this Act is to implement –</w:t>
      </w:r>
    </w:p>
    <w:p w14:paraId="5D74D768"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(1)</w:t>
      </w:r>
      <w:r w:rsidRPr="00FA4DB7">
        <w:rPr>
          <w:rFonts w:ascii="Times New Roman" w:eastAsia="Times New Roman" w:hAnsi="Times New Roman"/>
          <w:bCs/>
          <w:lang w:val="en-GB"/>
        </w:rPr>
        <w:tab/>
        <w:t xml:space="preserve">the provisions of the Convention, attached as </w:t>
      </w:r>
      <w:r w:rsidRPr="00FA4DB7">
        <w:rPr>
          <w:rFonts w:ascii="Times New Roman" w:eastAsia="Times New Roman" w:hAnsi="Times New Roman"/>
          <w:b/>
          <w:lang w:val="en-GB"/>
        </w:rPr>
        <w:t>annex I</w:t>
      </w:r>
      <w:r w:rsidRPr="00FA4DB7">
        <w:rPr>
          <w:rFonts w:ascii="Times New Roman" w:eastAsia="Times New Roman" w:hAnsi="Times New Roman"/>
          <w:bCs/>
          <w:lang w:val="en-GB"/>
        </w:rPr>
        <w:t xml:space="preserve">, </w:t>
      </w:r>
    </w:p>
    <w:p w14:paraId="5D74D769" w14:textId="77777777" w:rsidR="00837658" w:rsidRPr="00FA4DB7" w:rsidRDefault="00837658" w:rsidP="00837658">
      <w:pPr>
        <w:spacing w:after="240" w:line="240" w:lineRule="auto"/>
        <w:rPr>
          <w:rFonts w:ascii="Times New Roman" w:eastAsia="Times New Roman" w:hAnsi="Times New Roman"/>
          <w:b/>
          <w:lang w:val="en-GB"/>
        </w:rPr>
      </w:pPr>
      <w:r w:rsidRPr="00FA4DB7">
        <w:rPr>
          <w:rFonts w:ascii="Times New Roman" w:eastAsia="Times New Roman" w:hAnsi="Times New Roman"/>
          <w:bCs/>
          <w:lang w:val="en-GB"/>
        </w:rPr>
        <w:t xml:space="preserve">(2) </w:t>
      </w:r>
      <w:r w:rsidRPr="00FA4DB7">
        <w:rPr>
          <w:rFonts w:ascii="Times New Roman" w:eastAsia="Times New Roman" w:hAnsi="Times New Roman"/>
          <w:bCs/>
          <w:lang w:val="en-GB"/>
        </w:rPr>
        <w:tab/>
        <w:t xml:space="preserve">the Protocol, attached as </w:t>
      </w:r>
      <w:r w:rsidRPr="00FA4DB7">
        <w:rPr>
          <w:rFonts w:ascii="Times New Roman" w:eastAsia="Times New Roman" w:hAnsi="Times New Roman"/>
          <w:b/>
          <w:lang w:val="en-GB"/>
        </w:rPr>
        <w:t>annex II –</w:t>
      </w:r>
    </w:p>
    <w:p w14:paraId="5D74D76A" w14:textId="77777777"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bCs/>
          <w:lang w:val="en-GB"/>
        </w:rPr>
        <w:t xml:space="preserve">in each case as modified by the declarations deposited with UNIDROIT in connection therewith, attached as </w:t>
      </w:r>
      <w:r w:rsidRPr="00FA4DB7">
        <w:rPr>
          <w:rFonts w:ascii="Times New Roman" w:eastAsia="Times New Roman" w:hAnsi="Times New Roman"/>
          <w:b/>
          <w:lang w:val="en-GB"/>
        </w:rPr>
        <w:t>annex III (</w:t>
      </w:r>
      <w:r w:rsidRPr="00FA4DB7">
        <w:rPr>
          <w:rFonts w:ascii="Times New Roman" w:eastAsia="Times New Roman" w:hAnsi="Times New Roman"/>
          <w:i/>
          <w:lang w:val="en-GB"/>
        </w:rPr>
        <w:t>‘</w:t>
      </w:r>
      <w:r w:rsidRPr="00FA4DB7">
        <w:rPr>
          <w:rFonts w:ascii="Times New Roman" w:eastAsia="Times New Roman" w:hAnsi="Times New Roman"/>
          <w:b/>
          <w:i/>
          <w:lang w:val="en-GB"/>
        </w:rPr>
        <w:t>the Declarations</w:t>
      </w:r>
      <w:r w:rsidRPr="00FA4DB7">
        <w:rPr>
          <w:rFonts w:ascii="Times New Roman" w:eastAsia="Times New Roman" w:hAnsi="Times New Roman"/>
          <w:lang w:val="en-GB"/>
        </w:rPr>
        <w:t>’</w:t>
      </w:r>
      <w:r w:rsidRPr="00FA4DB7">
        <w:rPr>
          <w:rFonts w:ascii="Times New Roman" w:eastAsia="Times New Roman" w:hAnsi="Times New Roman"/>
          <w:b/>
          <w:lang w:val="en-GB"/>
        </w:rPr>
        <w:t>)</w:t>
      </w:r>
      <w:r w:rsidRPr="00FA4DB7">
        <w:rPr>
          <w:rFonts w:ascii="Times New Roman" w:eastAsia="Times New Roman" w:hAnsi="Times New Roman"/>
          <w:lang w:val="en-GB"/>
        </w:rPr>
        <w:t xml:space="preserve">, and </w:t>
      </w:r>
    </w:p>
    <w:p w14:paraId="5D74D76B" w14:textId="49222D8D"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lang w:val="en-GB"/>
        </w:rPr>
        <w:t>(3)</w:t>
      </w:r>
      <w:r w:rsidRPr="00FA4DB7">
        <w:rPr>
          <w:rFonts w:ascii="Times New Roman" w:eastAsia="Times New Roman" w:hAnsi="Times New Roman"/>
          <w:lang w:val="en-GB"/>
        </w:rPr>
        <w:tab/>
        <w:t>the regulations</w:t>
      </w:r>
      <w:r>
        <w:rPr>
          <w:rFonts w:ascii="Times New Roman" w:eastAsia="Times New Roman" w:hAnsi="Times New Roman"/>
          <w:lang w:val="en-GB"/>
        </w:rPr>
        <w:t xml:space="preserve"> of the </w:t>
      </w:r>
      <w:r w:rsidRPr="00FA4DB7">
        <w:rPr>
          <w:rFonts w:ascii="Times New Roman" w:eastAsia="Times New Roman" w:hAnsi="Times New Roman"/>
          <w:lang w:val="en-GB"/>
        </w:rPr>
        <w:t>Civil Aviation Authority</w:t>
      </w:r>
      <w:r w:rsidR="00161B0E">
        <w:rPr>
          <w:rFonts w:ascii="Times New Roman" w:eastAsia="Times New Roman" w:hAnsi="Times New Roman"/>
          <w:lang w:val="en-GB"/>
        </w:rPr>
        <w:t xml:space="preserve"> of </w:t>
      </w:r>
      <w:r w:rsidR="00ED4DCA">
        <w:rPr>
          <w:rFonts w:ascii="Times New Roman" w:eastAsia="Times New Roman" w:hAnsi="Times New Roman"/>
          <w:lang w:val="en-GB"/>
        </w:rPr>
        <w:t>Latvia</w:t>
      </w:r>
      <w:r w:rsidRPr="00FA4DB7">
        <w:rPr>
          <w:rFonts w:ascii="Times New Roman" w:eastAsia="Times New Roman" w:hAnsi="Times New Roman"/>
          <w:lang w:val="en-GB"/>
        </w:rPr>
        <w:t xml:space="preserve">, attached as </w:t>
      </w:r>
      <w:r w:rsidRPr="00FA4DB7">
        <w:rPr>
          <w:rFonts w:ascii="Times New Roman" w:eastAsia="Times New Roman" w:hAnsi="Times New Roman"/>
          <w:b/>
          <w:lang w:val="en-GB"/>
        </w:rPr>
        <w:t>annex</w:t>
      </w:r>
      <w:r w:rsidRPr="00FA4DB7">
        <w:rPr>
          <w:rFonts w:ascii="Times New Roman" w:eastAsia="Times New Roman" w:hAnsi="Times New Roman"/>
          <w:lang w:val="en-GB"/>
        </w:rPr>
        <w:t xml:space="preserve"> </w:t>
      </w:r>
      <w:r w:rsidRPr="00FA4DB7">
        <w:rPr>
          <w:rFonts w:ascii="Times New Roman" w:eastAsia="Times New Roman" w:hAnsi="Times New Roman"/>
          <w:b/>
          <w:lang w:val="en-GB"/>
        </w:rPr>
        <w:t>IV</w:t>
      </w:r>
      <w:r w:rsidRPr="00FA4DB7">
        <w:rPr>
          <w:rFonts w:ascii="Times New Roman" w:eastAsia="Times New Roman" w:hAnsi="Times New Roman"/>
          <w:lang w:val="en-GB"/>
        </w:rPr>
        <w:t xml:space="preserve">, in respect of Articles </w:t>
      </w:r>
      <w:proofErr w:type="gramStart"/>
      <w:r w:rsidRPr="00FA4DB7">
        <w:rPr>
          <w:rFonts w:ascii="Times New Roman" w:eastAsia="Times New Roman" w:hAnsi="Times New Roman"/>
          <w:lang w:val="en-GB"/>
        </w:rPr>
        <w:t>IX(</w:t>
      </w:r>
      <w:proofErr w:type="gramEnd"/>
      <w:r w:rsidRPr="00FA4DB7">
        <w:rPr>
          <w:rFonts w:ascii="Times New Roman" w:eastAsia="Times New Roman" w:hAnsi="Times New Roman"/>
          <w:lang w:val="en-GB"/>
        </w:rPr>
        <w:t>1) and (5) and XIII of the Protocol and declaration under Article XXX(1) of the Protocol relating thereto (‘</w:t>
      </w:r>
      <w:r w:rsidRPr="00FA4DB7">
        <w:rPr>
          <w:rFonts w:ascii="Times New Roman" w:eastAsia="Times New Roman" w:hAnsi="Times New Roman"/>
          <w:b/>
          <w:i/>
          <w:lang w:val="en-GB"/>
        </w:rPr>
        <w:t>the Regulations</w:t>
      </w:r>
      <w:r w:rsidRPr="00FA4DB7">
        <w:rPr>
          <w:rFonts w:ascii="Times New Roman" w:eastAsia="Times New Roman" w:hAnsi="Times New Roman"/>
          <w:lang w:val="en-GB"/>
        </w:rPr>
        <w:t xml:space="preserve">’) </w:t>
      </w:r>
      <w:r w:rsidRPr="00FA4DB7">
        <w:rPr>
          <w:rFonts w:ascii="Times New Roman" w:eastAsia="Times New Roman" w:hAnsi="Times New Roman"/>
          <w:bCs/>
          <w:lang w:val="en-GB"/>
        </w:rPr>
        <w:t xml:space="preserve"> </w:t>
      </w:r>
    </w:p>
    <w:p w14:paraId="5D74D76C" w14:textId="77777777" w:rsidR="00837658" w:rsidRPr="00FA4DB7" w:rsidRDefault="00837658" w:rsidP="00837658">
      <w:pPr>
        <w:spacing w:after="240" w:line="240" w:lineRule="auto"/>
        <w:rPr>
          <w:rFonts w:ascii="Times New Roman" w:eastAsia="Times New Roman" w:hAnsi="Times New Roman"/>
          <w:bCs/>
          <w:lang w:val="en-GB"/>
        </w:rPr>
      </w:pPr>
      <w:r w:rsidRPr="00FA4DB7">
        <w:rPr>
          <w:rFonts w:ascii="Times New Roman" w:eastAsia="Times New Roman" w:hAnsi="Times New Roman"/>
          <w:bCs/>
          <w:lang w:val="en-GB"/>
        </w:rPr>
        <w:t xml:space="preserve">(the Convention and the Protocol, as modified by the Declarations, and the </w:t>
      </w:r>
      <w:proofErr w:type="gramStart"/>
      <w:r w:rsidRPr="00FA4DB7">
        <w:rPr>
          <w:rFonts w:ascii="Times New Roman" w:eastAsia="Times New Roman" w:hAnsi="Times New Roman"/>
          <w:bCs/>
          <w:lang w:val="en-GB"/>
        </w:rPr>
        <w:t>Regulations,  collectively</w:t>
      </w:r>
      <w:proofErr w:type="gramEnd"/>
      <w:r w:rsidRPr="00FA4DB7">
        <w:rPr>
          <w:rFonts w:ascii="Times New Roman" w:eastAsia="Times New Roman" w:hAnsi="Times New Roman"/>
          <w:bCs/>
          <w:lang w:val="en-GB"/>
        </w:rPr>
        <w:t>, ‘</w:t>
      </w:r>
      <w:r w:rsidRPr="00FA4DB7">
        <w:rPr>
          <w:rFonts w:ascii="Times New Roman" w:eastAsia="Times New Roman" w:hAnsi="Times New Roman"/>
          <w:b/>
          <w:i/>
          <w:iCs/>
          <w:lang w:val="en-GB"/>
        </w:rPr>
        <w:t>the Cape Town Treaty</w:t>
      </w:r>
      <w:r>
        <w:rPr>
          <w:rFonts w:ascii="Times New Roman" w:eastAsia="Times New Roman" w:hAnsi="Times New Roman"/>
          <w:b/>
          <w:i/>
          <w:iCs/>
          <w:lang w:val="en-GB"/>
        </w:rPr>
        <w:t xml:space="preserve"> and its Implementing Provisions</w:t>
      </w:r>
      <w:r w:rsidRPr="00FA4DB7">
        <w:rPr>
          <w:rFonts w:ascii="Times New Roman" w:eastAsia="Times New Roman" w:hAnsi="Times New Roman"/>
          <w:bCs/>
          <w:lang w:val="en-GB"/>
        </w:rPr>
        <w:t>’).</w:t>
      </w:r>
    </w:p>
    <w:p w14:paraId="5D74D76D" w14:textId="77777777" w:rsidR="00837658" w:rsidRPr="00FA4DB7" w:rsidRDefault="00837658" w:rsidP="00837658">
      <w:pPr>
        <w:spacing w:after="240" w:line="240" w:lineRule="auto"/>
        <w:jc w:val="center"/>
        <w:rPr>
          <w:rFonts w:ascii="Times New Roman" w:eastAsia="Times New Roman" w:hAnsi="Times New Roman"/>
          <w:b/>
          <w:bCs/>
          <w:lang w:val="en-GB"/>
        </w:rPr>
      </w:pPr>
      <w:r w:rsidRPr="00FA4DB7">
        <w:rPr>
          <w:rFonts w:ascii="Times New Roman" w:eastAsia="Times New Roman" w:hAnsi="Times New Roman"/>
          <w:b/>
          <w:bCs/>
          <w:lang w:val="en-GB"/>
        </w:rPr>
        <w:t>FORCE OF LAW</w:t>
      </w:r>
    </w:p>
    <w:p w14:paraId="5D74D76E" w14:textId="373E2CA2" w:rsidR="00837658" w:rsidRPr="00FA4DB7" w:rsidRDefault="00837658" w:rsidP="00837658">
      <w:pPr>
        <w:spacing w:after="240" w:line="240" w:lineRule="auto"/>
        <w:jc w:val="both"/>
        <w:rPr>
          <w:rFonts w:ascii="Times New Roman" w:eastAsia="Times New Roman" w:hAnsi="Times New Roman"/>
          <w:lang w:val="en-GB"/>
        </w:rPr>
      </w:pPr>
      <w:r w:rsidRPr="00FA4DB7">
        <w:rPr>
          <w:rFonts w:ascii="Times New Roman" w:eastAsia="Times New Roman" w:hAnsi="Times New Roman"/>
          <w:lang w:val="en-GB"/>
        </w:rPr>
        <w:t xml:space="preserve">The Cape Town Treaty </w:t>
      </w:r>
      <w:r>
        <w:rPr>
          <w:rFonts w:ascii="Times New Roman" w:eastAsia="Times New Roman" w:hAnsi="Times New Roman"/>
          <w:lang w:val="en-GB"/>
        </w:rPr>
        <w:t xml:space="preserve">and its Implementing Provisions </w:t>
      </w:r>
      <w:r w:rsidRPr="00FA4DB7">
        <w:rPr>
          <w:rFonts w:ascii="Times New Roman" w:eastAsia="Times New Roman" w:hAnsi="Times New Roman"/>
          <w:lang w:val="en-GB"/>
        </w:rPr>
        <w:t xml:space="preserve">shall have the force of law in </w:t>
      </w:r>
      <w:r>
        <w:rPr>
          <w:rFonts w:ascii="Times New Roman" w:eastAsia="Times New Roman" w:hAnsi="Times New Roman"/>
          <w:lang w:val="en-GB"/>
        </w:rPr>
        <w:t xml:space="preserve">the </w:t>
      </w:r>
      <w:r w:rsidR="00ED4DCA">
        <w:rPr>
          <w:rFonts w:ascii="Times New Roman" w:eastAsia="Times New Roman" w:hAnsi="Times New Roman"/>
          <w:lang w:val="en-GB"/>
        </w:rPr>
        <w:t>Republic of Latvia</w:t>
      </w:r>
      <w:r w:rsidRPr="00FA4DB7">
        <w:rPr>
          <w:rFonts w:ascii="Times New Roman" w:eastAsia="Times New Roman" w:hAnsi="Times New Roman"/>
          <w:lang w:val="en-GB"/>
        </w:rPr>
        <w:t>.</w:t>
      </w:r>
    </w:p>
    <w:p w14:paraId="5D74D76F"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t>PREVAILING LAW</w:t>
      </w:r>
    </w:p>
    <w:p w14:paraId="5D74D770" w14:textId="15A4D8FC" w:rsidR="00837658"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To the extent of any conflict or inconsistency between th</w:t>
      </w:r>
      <w:r>
        <w:rPr>
          <w:rFonts w:ascii="Times New Roman" w:eastAsia="Times New Roman" w:hAnsi="Times New Roman"/>
          <w:lang w:val="en-GB"/>
        </w:rPr>
        <w:t>e Cape Town Treaty and its Implementing Provisions</w:t>
      </w:r>
      <w:r w:rsidRPr="00FA4DB7">
        <w:rPr>
          <w:rFonts w:ascii="Times New Roman" w:eastAsia="Times New Roman" w:hAnsi="Times New Roman"/>
          <w:lang w:val="en-GB"/>
        </w:rPr>
        <w:t xml:space="preserve"> and any other law of the </w:t>
      </w:r>
      <w:r w:rsidR="00ED4DCA">
        <w:rPr>
          <w:rFonts w:ascii="Times New Roman" w:eastAsia="Times New Roman" w:hAnsi="Times New Roman"/>
          <w:lang w:val="en-GB"/>
        </w:rPr>
        <w:t>Republic of Latvia</w:t>
      </w:r>
      <w:r>
        <w:rPr>
          <w:rFonts w:ascii="Times New Roman" w:eastAsia="Times New Roman" w:hAnsi="Times New Roman"/>
          <w:lang w:val="en-GB"/>
        </w:rPr>
        <w:t xml:space="preserve">, </w:t>
      </w:r>
      <w:r w:rsidRPr="00FA4DB7">
        <w:rPr>
          <w:rFonts w:ascii="Times New Roman" w:eastAsia="Times New Roman" w:hAnsi="Times New Roman"/>
          <w:lang w:val="en-GB"/>
        </w:rPr>
        <w:t>th</w:t>
      </w:r>
      <w:r>
        <w:rPr>
          <w:rFonts w:ascii="Times New Roman" w:eastAsia="Times New Roman" w:hAnsi="Times New Roman"/>
          <w:lang w:val="en-GB"/>
        </w:rPr>
        <w:t xml:space="preserve">e Cape Town Treaty and its Implementing </w:t>
      </w:r>
      <w:proofErr w:type="gramStart"/>
      <w:r>
        <w:rPr>
          <w:rFonts w:ascii="Times New Roman" w:eastAsia="Times New Roman" w:hAnsi="Times New Roman"/>
          <w:lang w:val="en-GB"/>
        </w:rPr>
        <w:t xml:space="preserve">Provisions </w:t>
      </w:r>
      <w:r w:rsidRPr="00FA4DB7">
        <w:rPr>
          <w:rFonts w:ascii="Times New Roman" w:eastAsia="Times New Roman" w:hAnsi="Times New Roman"/>
          <w:lang w:val="en-GB"/>
        </w:rPr>
        <w:t xml:space="preserve"> prevail</w:t>
      </w:r>
      <w:proofErr w:type="gramEnd"/>
      <w:r w:rsidRPr="00FA4DB7">
        <w:rPr>
          <w:rFonts w:ascii="Times New Roman" w:eastAsia="Times New Roman" w:hAnsi="Times New Roman"/>
          <w:lang w:val="en-GB"/>
        </w:rPr>
        <w:t xml:space="preserve"> over such other law, and, to that extent, such other law is hereby superseded.</w:t>
      </w:r>
    </w:p>
    <w:p w14:paraId="5D74D771" w14:textId="77777777" w:rsidR="00837658" w:rsidRDefault="00837658" w:rsidP="00837658">
      <w:pPr>
        <w:spacing w:after="240" w:line="240" w:lineRule="auto"/>
        <w:rPr>
          <w:rFonts w:ascii="Times New Roman" w:eastAsia="Times New Roman" w:hAnsi="Times New Roman"/>
          <w:lang w:val="en-GB"/>
        </w:rPr>
      </w:pPr>
    </w:p>
    <w:p w14:paraId="5D74D772" w14:textId="77777777" w:rsidR="00837658" w:rsidRPr="00FA4DB7" w:rsidRDefault="00837658" w:rsidP="00837658">
      <w:pPr>
        <w:spacing w:after="240" w:line="240" w:lineRule="auto"/>
        <w:rPr>
          <w:rFonts w:ascii="Times New Roman" w:eastAsia="Times New Roman" w:hAnsi="Times New Roman"/>
          <w:lang w:val="en-GB"/>
        </w:rPr>
      </w:pPr>
    </w:p>
    <w:p w14:paraId="5D74D773" w14:textId="77777777" w:rsidR="00837658" w:rsidRPr="00FA4DB7" w:rsidRDefault="00837658" w:rsidP="00837658">
      <w:pPr>
        <w:spacing w:after="240" w:line="240" w:lineRule="auto"/>
        <w:jc w:val="center"/>
        <w:rPr>
          <w:rFonts w:ascii="Times New Roman" w:eastAsia="Times New Roman" w:hAnsi="Times New Roman"/>
          <w:b/>
          <w:lang w:val="en-GB"/>
        </w:rPr>
      </w:pPr>
      <w:r w:rsidRPr="00FA4DB7">
        <w:rPr>
          <w:rFonts w:ascii="Times New Roman" w:eastAsia="Times New Roman" w:hAnsi="Times New Roman"/>
          <w:b/>
          <w:lang w:val="en-GB"/>
        </w:rPr>
        <w:lastRenderedPageBreak/>
        <w:t>ENTRY INTO FORCE</w:t>
      </w:r>
    </w:p>
    <w:p w14:paraId="5D74D774" w14:textId="5320B44B" w:rsidR="00837658" w:rsidRPr="00FA4DB7" w:rsidRDefault="00837658" w:rsidP="00837658">
      <w:pPr>
        <w:spacing w:after="240" w:line="240" w:lineRule="auto"/>
        <w:rPr>
          <w:rFonts w:ascii="Times New Roman" w:eastAsia="Times New Roman" w:hAnsi="Times New Roman"/>
          <w:lang w:val="en-GB"/>
        </w:rPr>
      </w:pPr>
      <w:r w:rsidRPr="00FA4DB7">
        <w:rPr>
          <w:rFonts w:ascii="Times New Roman" w:eastAsia="Times New Roman" w:hAnsi="Times New Roman"/>
          <w:lang w:val="en-GB"/>
        </w:rPr>
        <w:t>This Act and the Regulations shall enter into force simultaneously with the entry into force in the</w:t>
      </w:r>
      <w:r>
        <w:rPr>
          <w:rFonts w:ascii="Times New Roman" w:eastAsia="Times New Roman" w:hAnsi="Times New Roman"/>
          <w:lang w:val="en-GB"/>
        </w:rPr>
        <w:t xml:space="preserve">    </w:t>
      </w:r>
      <w:r w:rsidR="00ED4DCA">
        <w:rPr>
          <w:rFonts w:ascii="Times New Roman" w:eastAsia="Times New Roman" w:hAnsi="Times New Roman"/>
          <w:lang w:val="en-GB"/>
        </w:rPr>
        <w:t>Republic of Latvia</w:t>
      </w:r>
      <w:r w:rsidR="00161B0E" w:rsidRPr="00FA4DB7">
        <w:rPr>
          <w:rFonts w:ascii="Times New Roman" w:eastAsia="Times New Roman" w:hAnsi="Times New Roman"/>
          <w:lang w:val="en-GB"/>
        </w:rPr>
        <w:t xml:space="preserve"> </w:t>
      </w:r>
      <w:r w:rsidRPr="00FA4DB7">
        <w:rPr>
          <w:rFonts w:ascii="Times New Roman" w:eastAsia="Times New Roman" w:hAnsi="Times New Roman"/>
          <w:lang w:val="en-GB"/>
        </w:rPr>
        <w:t>of the Convention and the Protocol.</w:t>
      </w:r>
    </w:p>
    <w:p w14:paraId="5D74D775" w14:textId="77777777" w:rsidR="00837658" w:rsidRPr="00FA4DB7" w:rsidRDefault="00837658" w:rsidP="00837658">
      <w:pPr>
        <w:spacing w:after="240" w:line="240" w:lineRule="auto"/>
        <w:rPr>
          <w:rFonts w:ascii="Times New Roman" w:eastAsia="Times New Roman" w:hAnsi="Times New Roman"/>
          <w:b/>
          <w:bCs/>
          <w:u w:val="single"/>
          <w:lang w:val="en-GB"/>
        </w:rPr>
      </w:pPr>
      <w:r w:rsidRPr="00FA4DB7">
        <w:rPr>
          <w:rFonts w:ascii="Times New Roman" w:eastAsia="Times New Roman" w:hAnsi="Times New Roman"/>
          <w:b/>
          <w:bCs/>
          <w:u w:val="single"/>
          <w:lang w:val="en-GB"/>
        </w:rPr>
        <w:t>END</w:t>
      </w:r>
      <w:r>
        <w:rPr>
          <w:rFonts w:ascii="Times New Roman" w:eastAsia="Times New Roman" w:hAnsi="Times New Roman"/>
          <w:b/>
          <w:bCs/>
          <w:u w:val="single"/>
          <w:lang w:val="en-GB"/>
        </w:rPr>
        <w:t xml:space="preserve"> </w:t>
      </w:r>
    </w:p>
    <w:p w14:paraId="5D74D776"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br w:type="page"/>
      </w:r>
    </w:p>
    <w:p w14:paraId="5D74D777"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8"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1</w:t>
      </w:r>
    </w:p>
    <w:p w14:paraId="5D74D779"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Convention on International Interests in Mobile Equipment</w:t>
      </w:r>
    </w:p>
    <w:p w14:paraId="5D74D77A" w14:textId="77777777" w:rsidR="00837658" w:rsidRPr="00FA4DB7" w:rsidRDefault="00837658" w:rsidP="00837658">
      <w:pPr>
        <w:spacing w:after="240" w:line="240" w:lineRule="auto"/>
        <w:jc w:val="center"/>
        <w:rPr>
          <w:rFonts w:ascii="Times New Roman" w:eastAsia="Times New Roman" w:hAnsi="Times New Roman"/>
          <w:lang w:val="en-GB"/>
        </w:rPr>
      </w:pPr>
      <w:r w:rsidRPr="00ED4DCA">
        <w:rPr>
          <w:rFonts w:ascii="Times New Roman" w:eastAsia="Times New Roman" w:hAnsi="Times New Roman"/>
          <w:lang w:val="en-GB"/>
        </w:rPr>
        <w:t>(attach)</w:t>
      </w:r>
    </w:p>
    <w:p w14:paraId="5D74D77B" w14:textId="77777777" w:rsidR="00837658" w:rsidRPr="00FA4DB7" w:rsidRDefault="00837658" w:rsidP="00837658">
      <w:pPr>
        <w:spacing w:after="240" w:line="240" w:lineRule="auto"/>
        <w:jc w:val="center"/>
        <w:rPr>
          <w:rFonts w:ascii="Times New Roman" w:eastAsia="Times New Roman" w:hAnsi="Times New Roman"/>
          <w:lang w:val="en-GB"/>
        </w:rPr>
      </w:pPr>
    </w:p>
    <w:p w14:paraId="5D74D77C"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7D"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7E"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2</w:t>
      </w:r>
    </w:p>
    <w:p w14:paraId="5D74D77F"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Protocol to the Convention on International Interests in Mobile Equipment on Matters Specific to Aircraft Equipment</w:t>
      </w:r>
    </w:p>
    <w:p w14:paraId="5D74D780"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1" w14:textId="77777777" w:rsidR="00837658" w:rsidRPr="00FA4DB7" w:rsidRDefault="00837658" w:rsidP="00837658">
      <w:pPr>
        <w:spacing w:after="240" w:line="240" w:lineRule="auto"/>
        <w:jc w:val="center"/>
        <w:rPr>
          <w:rFonts w:ascii="Times New Roman" w:eastAsia="Times New Roman" w:hAnsi="Times New Roman"/>
          <w:lang w:val="en-GB"/>
        </w:rPr>
      </w:pPr>
    </w:p>
    <w:p w14:paraId="5D74D782"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3"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4"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3</w:t>
      </w:r>
    </w:p>
    <w:p w14:paraId="5D74D785"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Declarations to the Convention on International Interests in Mobile Equipment and Protocol thereto on Matters Specific to Aircraft Equipment – as Deposited with UNIDROIT</w:t>
      </w:r>
    </w:p>
    <w:p w14:paraId="5D74D786" w14:textId="77777777" w:rsidR="00837658" w:rsidRPr="00FA4DB7" w:rsidRDefault="00837658" w:rsidP="00837658">
      <w:pPr>
        <w:spacing w:after="240" w:line="240" w:lineRule="auto"/>
        <w:jc w:val="center"/>
        <w:rPr>
          <w:rFonts w:ascii="Times New Roman" w:eastAsia="Times New Roman" w:hAnsi="Times New Roman"/>
          <w:lang w:val="en-GB"/>
        </w:rPr>
      </w:pPr>
    </w:p>
    <w:p w14:paraId="5D74D787"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8"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_____________</w:t>
      </w:r>
    </w:p>
    <w:p w14:paraId="5D74D789"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p>
    <w:p w14:paraId="5D74D78A" w14:textId="77777777" w:rsidR="00837658" w:rsidRPr="00FA4DB7"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p>
    <w:p w14:paraId="5D74D78B" w14:textId="3A02CF24" w:rsidR="00837658" w:rsidRDefault="00837658" w:rsidP="00837658">
      <w:pPr>
        <w:spacing w:after="240" w:line="240" w:lineRule="auto"/>
        <w:jc w:val="center"/>
        <w:rPr>
          <w:rFonts w:ascii="Times New Roman" w:eastAsia="Times New Roman" w:hAnsi="Times New Roman"/>
          <w:lang w:val="en-GB"/>
        </w:rPr>
      </w:pPr>
      <w:r>
        <w:rPr>
          <w:rFonts w:ascii="Times New Roman" w:eastAsia="Times New Roman" w:hAnsi="Times New Roman"/>
          <w:lang w:val="en-GB"/>
        </w:rPr>
        <w:t>Regulations of the</w:t>
      </w:r>
      <w:r w:rsidRPr="00FA4DB7">
        <w:rPr>
          <w:rFonts w:ascii="Times New Roman" w:eastAsia="Times New Roman" w:hAnsi="Times New Roman"/>
          <w:lang w:val="en-GB"/>
        </w:rPr>
        <w:t xml:space="preserve"> Civil Aviation Authority</w:t>
      </w:r>
      <w:r w:rsidR="00161B0E">
        <w:rPr>
          <w:rFonts w:ascii="Times New Roman" w:eastAsia="Times New Roman" w:hAnsi="Times New Roman"/>
          <w:lang w:val="en-GB"/>
        </w:rPr>
        <w:t xml:space="preserve"> of </w:t>
      </w:r>
      <w:r w:rsidR="00ED4DCA">
        <w:rPr>
          <w:rFonts w:ascii="Times New Roman" w:eastAsia="Times New Roman" w:hAnsi="Times New Roman"/>
          <w:lang w:val="en-GB"/>
        </w:rPr>
        <w:t>Latvia</w:t>
      </w:r>
    </w:p>
    <w:p w14:paraId="5D74D78C" w14:textId="77777777" w:rsidR="00837658" w:rsidRDefault="00837658" w:rsidP="00837658">
      <w:pPr>
        <w:spacing w:after="240" w:line="240" w:lineRule="auto"/>
        <w:jc w:val="center"/>
        <w:rPr>
          <w:rFonts w:ascii="Times New Roman" w:eastAsia="Times New Roman" w:hAnsi="Times New Roman"/>
          <w:lang w:val="en-GB"/>
        </w:rPr>
      </w:pPr>
    </w:p>
    <w:p w14:paraId="5D74D78D" w14:textId="77777777" w:rsidR="00837658"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lang w:val="en-GB"/>
        </w:rPr>
        <w:t>(attach)</w:t>
      </w:r>
    </w:p>
    <w:p w14:paraId="5D74D78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8F" w14:textId="77777777" w:rsidR="00837658" w:rsidRPr="00837658" w:rsidRDefault="00837658" w:rsidP="00837658">
      <w:pPr>
        <w:spacing w:after="240" w:line="240" w:lineRule="auto"/>
        <w:jc w:val="center"/>
        <w:rPr>
          <w:rFonts w:ascii="Times New Roman" w:eastAsia="Times New Roman" w:hAnsi="Times New Roman"/>
          <w:lang w:val="en-GB"/>
        </w:rPr>
      </w:pPr>
      <w:r w:rsidRPr="00837658">
        <w:rPr>
          <w:rFonts w:ascii="Times New Roman" w:eastAsia="Times New Roman" w:hAnsi="Times New Roman"/>
          <w:bCs/>
          <w:lang w:val="en-GB"/>
        </w:rPr>
        <w:t>_______</w:t>
      </w:r>
      <w:r>
        <w:rPr>
          <w:rFonts w:ascii="Times New Roman" w:eastAsia="Times New Roman" w:hAnsi="Times New Roman"/>
          <w:bCs/>
          <w:lang w:val="en-GB"/>
        </w:rPr>
        <w:t>______</w:t>
      </w:r>
    </w:p>
    <w:p w14:paraId="5D74D790" w14:textId="77777777" w:rsidR="00F2183D" w:rsidRPr="00F2183D" w:rsidRDefault="00F2183D" w:rsidP="00F2183D">
      <w:pPr>
        <w:spacing w:after="240" w:line="240" w:lineRule="auto"/>
        <w:jc w:val="center"/>
        <w:rPr>
          <w:rFonts w:ascii="Times New Roman" w:eastAsia="Times New Roman" w:hAnsi="Times New Roman"/>
          <w:lang w:val="en-GB"/>
        </w:rPr>
      </w:pPr>
      <w:r w:rsidRPr="00FA4DB7">
        <w:rPr>
          <w:rFonts w:ascii="Times New Roman" w:eastAsia="Times New Roman" w:hAnsi="Times New Roman"/>
          <w:b/>
          <w:bCs/>
          <w:u w:val="single"/>
          <w:lang w:val="en-GB"/>
        </w:rPr>
        <w:lastRenderedPageBreak/>
        <w:t>Annexure 3</w:t>
      </w:r>
    </w:p>
    <w:p w14:paraId="5D74D791" w14:textId="77777777" w:rsidR="00837658" w:rsidRPr="00FA4DB7" w:rsidRDefault="00837658" w:rsidP="00837658">
      <w:pPr>
        <w:spacing w:after="240" w:line="240" w:lineRule="auto"/>
        <w:jc w:val="center"/>
        <w:rPr>
          <w:rFonts w:ascii="Times New Roman" w:eastAsia="Times New Roman" w:hAnsi="Times New Roman"/>
          <w:lang w:val="en-GB"/>
        </w:rPr>
      </w:pPr>
      <w:r w:rsidRPr="00FA4DB7">
        <w:rPr>
          <w:rFonts w:ascii="Times New Roman" w:eastAsia="Times New Roman" w:hAnsi="Times New Roman"/>
          <w:b/>
          <w:lang w:val="en-GB"/>
        </w:rPr>
        <w:t>Convention on International Interests in Mobile Equipment</w:t>
      </w:r>
    </w:p>
    <w:p w14:paraId="5D74D792" w14:textId="3AD497C9" w:rsidR="00837658" w:rsidRPr="00FA4DB7" w:rsidRDefault="00837658" w:rsidP="00837658">
      <w:pPr>
        <w:pStyle w:val="BodyA"/>
        <w:spacing w:line="240" w:lineRule="auto"/>
        <w:rPr>
          <w:rFonts w:ascii="Times New Roman" w:eastAsia="Book Antiqua" w:hAnsi="Times New Roman" w:cs="Times New Roman"/>
          <w:lang w:val="en-US"/>
        </w:rPr>
      </w:pPr>
      <w:r w:rsidRPr="00FA4DB7">
        <w:rPr>
          <w:rFonts w:ascii="Times New Roman" w:hAnsi="Times New Roman" w:cs="Times New Roman"/>
          <w:lang w:val="en-US"/>
        </w:rPr>
        <w:t>1.</w:t>
      </w:r>
      <w:r w:rsidRPr="00FA4DB7">
        <w:rPr>
          <w:rFonts w:ascii="Times New Roman" w:hAnsi="Times New Roman" w:cs="Times New Roman"/>
          <w:lang w:val="en-US"/>
        </w:rPr>
        <w:tab/>
      </w:r>
      <w:r>
        <w:rPr>
          <w:rFonts w:ascii="Times New Roman" w:hAnsi="Times New Roman" w:cs="Times New Roman"/>
          <w:lang w:val="en-US"/>
        </w:rPr>
        <w:t xml:space="preserve">The </w:t>
      </w:r>
      <w:r w:rsidR="00ED4DCA">
        <w:rPr>
          <w:rFonts w:ascii="Times New Roman" w:eastAsia="Times New Roman" w:hAnsi="Times New Roman"/>
          <w:lang w:val="en-GB"/>
        </w:rPr>
        <w:t>Republic of Latvia</w:t>
      </w:r>
      <w:r>
        <w:rPr>
          <w:rFonts w:ascii="Times New Roman" w:hAnsi="Times New Roman" w:cs="Times New Roman"/>
          <w:lang w:val="en-US"/>
        </w:rPr>
        <w:t xml:space="preserve"> declares, in accordance with Article 54(2) of the </w:t>
      </w:r>
      <w:proofErr w:type="gramStart"/>
      <w:r>
        <w:rPr>
          <w:rFonts w:ascii="Times New Roman" w:hAnsi="Times New Roman" w:cs="Times New Roman"/>
          <w:lang w:val="en-US"/>
        </w:rPr>
        <w:t xml:space="preserve">Convention,  </w:t>
      </w:r>
      <w:r w:rsidRPr="00FA4DB7">
        <w:rPr>
          <w:rFonts w:ascii="Times New Roman" w:hAnsi="Times New Roman" w:cs="Times New Roman"/>
          <w:lang w:val="en-US"/>
        </w:rPr>
        <w:t>that</w:t>
      </w:r>
      <w:proofErr w:type="gramEnd"/>
      <w:r w:rsidRPr="00FA4DB7">
        <w:rPr>
          <w:rFonts w:ascii="Times New Roman" w:hAnsi="Times New Roman" w:cs="Times New Roman"/>
          <w:lang w:val="en-US"/>
        </w:rPr>
        <w:t xml:space="preserve"> all remedies available to the creditor under the Convention and the Protocol which are not expressed under the relevant provision thereof to require application to the court may be required exercised without leave of the court of other court action. </w:t>
      </w:r>
    </w:p>
    <w:p w14:paraId="5D74D793" w14:textId="294CE198" w:rsidR="00837658" w:rsidRDefault="00837658" w:rsidP="00837658">
      <w:pPr>
        <w:pStyle w:val="Textoindependiente"/>
        <w:rPr>
          <w:iCs/>
          <w:szCs w:val="22"/>
        </w:rPr>
      </w:pPr>
      <w:r w:rsidRPr="00FA4DB7">
        <w:rPr>
          <w:szCs w:val="22"/>
        </w:rPr>
        <w:t>2.</w:t>
      </w:r>
      <w:r w:rsidRPr="00FA4DB7">
        <w:rPr>
          <w:szCs w:val="22"/>
        </w:rPr>
        <w:tab/>
      </w:r>
      <w:r>
        <w:rPr>
          <w:lang w:val="en-US"/>
        </w:rPr>
        <w:t xml:space="preserve">The </w:t>
      </w:r>
      <w:r w:rsidR="00ED4DCA">
        <w:t>Republic of Latvia</w:t>
      </w:r>
      <w:r w:rsidR="00161B0E">
        <w:rPr>
          <w:lang w:val="en-US"/>
        </w:rPr>
        <w:t xml:space="preserve"> </w:t>
      </w:r>
      <w:r>
        <w:rPr>
          <w:lang w:val="en-US"/>
        </w:rPr>
        <w:t xml:space="preserve">declares, in accordance with Article 39(1)(a) of the </w:t>
      </w:r>
      <w:proofErr w:type="gramStart"/>
      <w:r>
        <w:rPr>
          <w:lang w:val="en-US"/>
        </w:rPr>
        <w:t xml:space="preserve">Convention,  </w:t>
      </w:r>
      <w:r>
        <w:rPr>
          <w:szCs w:val="22"/>
        </w:rPr>
        <w:t>that</w:t>
      </w:r>
      <w:proofErr w:type="gramEnd"/>
      <w:r>
        <w:rPr>
          <w:szCs w:val="22"/>
        </w:rPr>
        <w:t xml:space="preserve"> the </w:t>
      </w:r>
      <w:r>
        <w:rPr>
          <w:iCs/>
          <w:szCs w:val="22"/>
        </w:rPr>
        <w:t>following categories of non-</w:t>
      </w:r>
      <w:r w:rsidRPr="00FA4DB7">
        <w:rPr>
          <w:iCs/>
          <w:szCs w:val="22"/>
        </w:rPr>
        <w:t>consensual right or interest</w:t>
      </w:r>
      <w:r>
        <w:rPr>
          <w:iCs/>
          <w:szCs w:val="22"/>
        </w:rPr>
        <w:t>:</w:t>
      </w:r>
    </w:p>
    <w:p w14:paraId="5D74D794" w14:textId="77777777" w:rsidR="00837658" w:rsidRDefault="00837658" w:rsidP="00837658">
      <w:pPr>
        <w:pStyle w:val="Textoindependiente"/>
        <w:rPr>
          <w:iCs/>
          <w:szCs w:val="22"/>
        </w:rPr>
      </w:pPr>
      <w:r>
        <w:rPr>
          <w:iCs/>
          <w:szCs w:val="22"/>
        </w:rPr>
        <w:t>a).</w:t>
      </w:r>
      <w:r>
        <w:rPr>
          <w:iCs/>
          <w:szCs w:val="22"/>
        </w:rPr>
        <w:tab/>
      </w:r>
      <w:r w:rsidRPr="00FA4DB7">
        <w:rPr>
          <w:iCs/>
          <w:szCs w:val="22"/>
        </w:rPr>
        <w:t xml:space="preserve">liens </w:t>
      </w:r>
      <w:r>
        <w:rPr>
          <w:iCs/>
          <w:szCs w:val="22"/>
        </w:rPr>
        <w:t>in favour of the government relating to taxes and unpaid charges directly attributable to the use of an aircraft object arising after a declared default under a contract to lease of finance that aircraft object; and</w:t>
      </w:r>
    </w:p>
    <w:p w14:paraId="5D74D795" w14:textId="77777777" w:rsidR="00837658" w:rsidRDefault="00837658" w:rsidP="00837658">
      <w:pPr>
        <w:pStyle w:val="Textoindependiente"/>
        <w:rPr>
          <w:iCs/>
          <w:szCs w:val="22"/>
        </w:rPr>
      </w:pPr>
      <w:r>
        <w:rPr>
          <w:iCs/>
          <w:szCs w:val="22"/>
        </w:rPr>
        <w:t>b).</w:t>
      </w:r>
      <w:r>
        <w:rPr>
          <w:iCs/>
          <w:szCs w:val="22"/>
        </w:rPr>
        <w:tab/>
        <w:t>liens in favour of repairers of an aircraft object in its possession to the extent of services performed on and value added to that aircraft object –</w:t>
      </w:r>
    </w:p>
    <w:p w14:paraId="5D74D796" w14:textId="77777777" w:rsidR="00837658" w:rsidRPr="00FA4DB7" w:rsidRDefault="00837658" w:rsidP="00837658">
      <w:pPr>
        <w:pStyle w:val="Textoindependiente"/>
        <w:rPr>
          <w:szCs w:val="22"/>
          <w:lang w:val="en-US"/>
        </w:rPr>
      </w:pPr>
      <w:r>
        <w:rPr>
          <w:szCs w:val="22"/>
          <w:lang w:val="en-US"/>
        </w:rPr>
        <w:t>have</w:t>
      </w:r>
      <w:r w:rsidRPr="00FA4DB7">
        <w:rPr>
          <w:szCs w:val="22"/>
          <w:lang w:val="en-US"/>
        </w:rPr>
        <w:t xml:space="preserve"> priority over an interest in an object equivalent to that of the holder of a registered international interest</w:t>
      </w:r>
      <w:r>
        <w:rPr>
          <w:szCs w:val="22"/>
          <w:lang w:val="en-US"/>
        </w:rPr>
        <w:t xml:space="preserve"> and</w:t>
      </w:r>
      <w:r w:rsidRPr="00FA4DB7">
        <w:rPr>
          <w:szCs w:val="22"/>
          <w:lang w:val="en-US"/>
        </w:rPr>
        <w:t xml:space="preserve"> shall have priority to the same extent over such registered international interest, whether in or outside insolvency proceedings. </w:t>
      </w:r>
    </w:p>
    <w:p w14:paraId="5D74D797" w14:textId="4CA8966B" w:rsidR="00837658" w:rsidRDefault="00837658" w:rsidP="00837658">
      <w:pPr>
        <w:pStyle w:val="Textoindependiente"/>
        <w:spacing w:after="720"/>
        <w:jc w:val="left"/>
        <w:rPr>
          <w:b/>
          <w:szCs w:val="22"/>
        </w:rPr>
      </w:pPr>
      <w:r w:rsidRPr="00FA4DB7">
        <w:rPr>
          <w:szCs w:val="22"/>
        </w:rPr>
        <w:t>4.</w:t>
      </w:r>
      <w:r w:rsidRPr="00FA4DB7">
        <w:rPr>
          <w:szCs w:val="22"/>
        </w:rPr>
        <w:tab/>
      </w:r>
      <w:r>
        <w:rPr>
          <w:lang w:val="en-US"/>
        </w:rPr>
        <w:t xml:space="preserve">The </w:t>
      </w:r>
      <w:r w:rsidR="00ED4DCA">
        <w:t>Republic of Latvia</w:t>
      </w:r>
      <w:r>
        <w:rPr>
          <w:lang w:val="en-US"/>
        </w:rPr>
        <w:t xml:space="preserve"> declares, in accordance with Article 40 of the </w:t>
      </w:r>
      <w:proofErr w:type="gramStart"/>
      <w:r>
        <w:rPr>
          <w:lang w:val="en-US"/>
        </w:rPr>
        <w:t xml:space="preserve">Convention,  </w:t>
      </w:r>
      <w:r>
        <w:rPr>
          <w:szCs w:val="22"/>
        </w:rPr>
        <w:t>that</w:t>
      </w:r>
      <w:proofErr w:type="gramEnd"/>
      <w:r>
        <w:rPr>
          <w:szCs w:val="22"/>
        </w:rPr>
        <w:t xml:space="preserve"> the </w:t>
      </w:r>
      <w:r w:rsidRPr="00FA4DB7">
        <w:rPr>
          <w:iCs/>
          <w:szCs w:val="22"/>
        </w:rPr>
        <w:t>following categories of non–consensual right or interest</w:t>
      </w:r>
      <w:r>
        <w:rPr>
          <w:iCs/>
          <w:szCs w:val="22"/>
        </w:rPr>
        <w:t>:</w:t>
      </w:r>
      <w:r w:rsidRPr="00FA4DB7">
        <w:rPr>
          <w:szCs w:val="22"/>
        </w:rPr>
        <w:br/>
      </w:r>
      <w:r w:rsidRPr="00FA4DB7">
        <w:rPr>
          <w:szCs w:val="22"/>
        </w:rPr>
        <w:br/>
      </w:r>
      <w:r w:rsidRPr="00FA4DB7">
        <w:rPr>
          <w:iCs/>
          <w:szCs w:val="22"/>
        </w:rPr>
        <w:t>a).</w:t>
      </w:r>
      <w:r w:rsidRPr="00FA4DB7">
        <w:rPr>
          <w:iCs/>
          <w:szCs w:val="22"/>
        </w:rPr>
        <w:tab/>
        <w:t>right of a person obtaining a court order permitting attachment of an aircraft object in partial or full satisfaction of a legal judgment; and</w:t>
      </w:r>
      <w:r w:rsidRPr="00FA4DB7">
        <w:rPr>
          <w:szCs w:val="22"/>
        </w:rPr>
        <w:br/>
      </w:r>
      <w:r w:rsidRPr="00FA4DB7">
        <w:rPr>
          <w:szCs w:val="22"/>
        </w:rPr>
        <w:br/>
      </w:r>
      <w:r w:rsidRPr="00FA4DB7">
        <w:rPr>
          <w:iCs/>
          <w:szCs w:val="22"/>
        </w:rPr>
        <w:t>b).</w:t>
      </w:r>
      <w:r w:rsidRPr="00FA4DB7">
        <w:rPr>
          <w:iCs/>
          <w:szCs w:val="22"/>
        </w:rPr>
        <w:tab/>
        <w:t xml:space="preserve">liens </w:t>
      </w:r>
      <w:r>
        <w:rPr>
          <w:iCs/>
          <w:szCs w:val="22"/>
        </w:rPr>
        <w:t>in favour of the government relating to taxes and unpaid charges directly attributable to the use of an aircraft object arising before a declared default under a contract to lease of finance that aircraft object --</w:t>
      </w:r>
      <w:r w:rsidRPr="00FA4DB7">
        <w:rPr>
          <w:iCs/>
          <w:szCs w:val="22"/>
        </w:rPr>
        <w:t>-</w:t>
      </w:r>
      <w:r w:rsidRPr="00FA4DB7">
        <w:rPr>
          <w:szCs w:val="22"/>
        </w:rPr>
        <w:br/>
      </w:r>
      <w:r w:rsidRPr="00FA4DB7">
        <w:rPr>
          <w:szCs w:val="22"/>
        </w:rPr>
        <w:br/>
      </w:r>
      <w:r w:rsidRPr="00FA4DB7">
        <w:rPr>
          <w:iCs/>
          <w:szCs w:val="22"/>
        </w:rPr>
        <w:t>shall be registrable under the Convention as regards aircraft objects as if the right or interest were an international interest and shall be regulated accordingly.</w:t>
      </w:r>
      <w:r w:rsidRPr="00FA4DB7">
        <w:rPr>
          <w:szCs w:val="22"/>
        </w:rPr>
        <w:br/>
      </w:r>
      <w:r w:rsidRPr="00FA4DB7">
        <w:rPr>
          <w:szCs w:val="22"/>
        </w:rPr>
        <w:br/>
      </w:r>
      <w:r>
        <w:rPr>
          <w:szCs w:val="22"/>
        </w:rPr>
        <w:br/>
      </w:r>
    </w:p>
    <w:p w14:paraId="5D74D798" w14:textId="77777777" w:rsidR="00837658" w:rsidRDefault="00837658" w:rsidP="00837658">
      <w:pPr>
        <w:pStyle w:val="Textoindependiente"/>
        <w:spacing w:after="720"/>
        <w:jc w:val="center"/>
        <w:rPr>
          <w:b/>
          <w:szCs w:val="22"/>
        </w:rPr>
      </w:pPr>
    </w:p>
    <w:p w14:paraId="5D74D799" w14:textId="77777777" w:rsidR="00837658" w:rsidRDefault="00837658" w:rsidP="00837658">
      <w:pPr>
        <w:pStyle w:val="Textoindependiente"/>
        <w:spacing w:after="720"/>
        <w:jc w:val="center"/>
        <w:rPr>
          <w:b/>
          <w:szCs w:val="22"/>
        </w:rPr>
      </w:pPr>
    </w:p>
    <w:p w14:paraId="5D74D79A" w14:textId="77777777" w:rsidR="00837658" w:rsidRDefault="00837658" w:rsidP="00837658">
      <w:pPr>
        <w:pStyle w:val="Textoindependiente"/>
        <w:spacing w:after="720"/>
        <w:jc w:val="center"/>
        <w:rPr>
          <w:b/>
          <w:szCs w:val="22"/>
        </w:rPr>
      </w:pPr>
    </w:p>
    <w:p w14:paraId="5D74D79B" w14:textId="77777777" w:rsidR="00837658" w:rsidRPr="00F2183D" w:rsidRDefault="00837658" w:rsidP="00F2183D">
      <w:pPr>
        <w:spacing w:after="240" w:line="240" w:lineRule="auto"/>
        <w:jc w:val="center"/>
        <w:rPr>
          <w:rFonts w:ascii="Times New Roman" w:eastAsia="Times New Roman" w:hAnsi="Times New Roman"/>
          <w:lang w:val="en-GB"/>
        </w:rPr>
      </w:pPr>
    </w:p>
    <w:p w14:paraId="5D74D79C" w14:textId="77777777" w:rsidR="00837658" w:rsidRDefault="00837658" w:rsidP="00837658">
      <w:pPr>
        <w:pStyle w:val="Textoindependiente"/>
        <w:spacing w:after="720"/>
        <w:jc w:val="center"/>
        <w:rPr>
          <w:b/>
          <w:szCs w:val="22"/>
        </w:rPr>
      </w:pPr>
      <w:r w:rsidRPr="00FA4DB7">
        <w:rPr>
          <w:b/>
          <w:szCs w:val="22"/>
        </w:rPr>
        <w:t>Protocol to the Convention on International Interests in Mobile Equipment on Matters Specific to Aircraft Equipment</w:t>
      </w:r>
    </w:p>
    <w:p w14:paraId="5D74D79D" w14:textId="512A64C3" w:rsidR="00837658" w:rsidRDefault="00837658" w:rsidP="00837658">
      <w:pPr>
        <w:pStyle w:val="Textoindependiente"/>
        <w:spacing w:after="0"/>
        <w:jc w:val="left"/>
        <w:rPr>
          <w:color w:val="3D4143"/>
          <w:szCs w:val="22"/>
          <w:lang w:val="en-US"/>
        </w:rPr>
      </w:pPr>
      <w:r>
        <w:rPr>
          <w:szCs w:val="22"/>
        </w:rPr>
        <w:t>1.</w:t>
      </w:r>
      <w:r>
        <w:rPr>
          <w:szCs w:val="22"/>
        </w:rPr>
        <w:tab/>
        <w:t xml:space="preserve">The </w:t>
      </w:r>
      <w:r w:rsidR="00ED4DCA">
        <w:t>Republic of Latvia</w:t>
      </w:r>
      <w:r>
        <w:rPr>
          <w:szCs w:val="22"/>
        </w:rPr>
        <w:t xml:space="preserve"> </w:t>
      </w:r>
      <w:r w:rsidRPr="00FA4DB7">
        <w:rPr>
          <w:szCs w:val="22"/>
          <w:lang w:val="en-US"/>
        </w:rPr>
        <w:t>declares, in accordance with Article XXX of the Protocol, that it will apply Article VIII of the Protocol.</w:t>
      </w:r>
      <w:r w:rsidRPr="00FA4DB7">
        <w:rPr>
          <w:color w:val="3D4143"/>
          <w:szCs w:val="22"/>
          <w:lang w:val="en-US"/>
        </w:rPr>
        <w:t> </w:t>
      </w:r>
      <w:r w:rsidRPr="00FA4DB7">
        <w:rPr>
          <w:szCs w:val="22"/>
        </w:rPr>
        <w:br/>
      </w:r>
      <w:r w:rsidRPr="00FA4DB7">
        <w:rPr>
          <w:szCs w:val="22"/>
        </w:rPr>
        <w:br/>
        <w:t>2.</w:t>
      </w:r>
      <w:r w:rsidRPr="00FA4DB7">
        <w:rPr>
          <w:szCs w:val="22"/>
        </w:rPr>
        <w:tab/>
        <w:t xml:space="preserve">The </w:t>
      </w:r>
      <w:r w:rsidR="00ED4DCA">
        <w:t>Republic of Latvia</w:t>
      </w:r>
      <w:r w:rsidR="00161B0E" w:rsidRPr="00FA4DB7">
        <w:rPr>
          <w:szCs w:val="22"/>
          <w:lang w:val="en-US"/>
        </w:rPr>
        <w:t xml:space="preserve"> </w:t>
      </w:r>
      <w:r w:rsidRPr="00FA4DB7">
        <w:rPr>
          <w:szCs w:val="22"/>
          <w:lang w:val="en-US"/>
        </w:rPr>
        <w:t xml:space="preserve">declares, in accordance with Article XXX of the Protocol, that it will apply Article XI, Alternative A of the Protocol in its entirety to all types of insolvency proceedings and all insolvency-related events and that the waiting period of the purposes of Article </w:t>
      </w:r>
      <w:proofErr w:type="gramStart"/>
      <w:r w:rsidRPr="00FA4DB7">
        <w:rPr>
          <w:szCs w:val="22"/>
          <w:lang w:val="en-US"/>
        </w:rPr>
        <w:t>XI(</w:t>
      </w:r>
      <w:proofErr w:type="gramEnd"/>
      <w:r w:rsidRPr="00FA4DB7">
        <w:rPr>
          <w:szCs w:val="22"/>
          <w:lang w:val="en-US"/>
        </w:rPr>
        <w:t xml:space="preserve">3), Alternative A shall be </w:t>
      </w:r>
      <w:r>
        <w:rPr>
          <w:szCs w:val="22"/>
          <w:lang w:val="en-US"/>
        </w:rPr>
        <w:t>sixty</w:t>
      </w:r>
      <w:r w:rsidRPr="00FA4DB7">
        <w:rPr>
          <w:szCs w:val="22"/>
          <w:lang w:val="en-US"/>
        </w:rPr>
        <w:t xml:space="preserve"> (</w:t>
      </w:r>
      <w:r>
        <w:rPr>
          <w:szCs w:val="22"/>
          <w:lang w:val="en-US"/>
        </w:rPr>
        <w:t>6</w:t>
      </w:r>
      <w:r w:rsidRPr="00FA4DB7">
        <w:rPr>
          <w:szCs w:val="22"/>
          <w:lang w:val="en-US"/>
        </w:rPr>
        <w:t>0) calendar days.</w:t>
      </w:r>
      <w:r w:rsidRPr="00FA4DB7">
        <w:rPr>
          <w:szCs w:val="22"/>
          <w:lang w:val="en-US"/>
        </w:rPr>
        <w:br/>
      </w:r>
      <w:r w:rsidRPr="00FA4DB7">
        <w:rPr>
          <w:szCs w:val="22"/>
          <w:lang w:val="en-US"/>
        </w:rPr>
        <w:br/>
      </w:r>
      <w:r w:rsidRPr="00FA4DB7">
        <w:rPr>
          <w:szCs w:val="22"/>
        </w:rPr>
        <w:t>3.</w:t>
      </w:r>
      <w:r w:rsidRPr="00FA4DB7">
        <w:rPr>
          <w:szCs w:val="22"/>
        </w:rPr>
        <w:tab/>
        <w:t xml:space="preserve">The </w:t>
      </w:r>
      <w:r w:rsidR="00ED4DCA">
        <w:t>Republic of Latvia</w:t>
      </w:r>
      <w:r>
        <w:rPr>
          <w:szCs w:val="22"/>
        </w:rPr>
        <w:t xml:space="preserve"> </w:t>
      </w:r>
      <w:r w:rsidRPr="00FA4DB7">
        <w:rPr>
          <w:szCs w:val="22"/>
          <w:lang w:val="en-US"/>
        </w:rPr>
        <w:t>declares, in accordance with Article XXX of the Protocol, that it will apply Article XII of the Protocol.</w:t>
      </w:r>
      <w:r w:rsidRPr="00FA4DB7">
        <w:rPr>
          <w:color w:val="3D4143"/>
          <w:szCs w:val="22"/>
          <w:lang w:val="en-US"/>
        </w:rPr>
        <w:t> </w:t>
      </w:r>
      <w:r w:rsidRPr="00FA4DB7">
        <w:rPr>
          <w:color w:val="3D4143"/>
          <w:szCs w:val="22"/>
          <w:lang w:val="en-US"/>
        </w:rPr>
        <w:br/>
      </w:r>
      <w:r w:rsidRPr="00FA4DB7">
        <w:rPr>
          <w:szCs w:val="22"/>
        </w:rPr>
        <w:br/>
        <w:t>4</w:t>
      </w:r>
      <w:r>
        <w:rPr>
          <w:szCs w:val="22"/>
        </w:rPr>
        <w:t>.</w:t>
      </w:r>
      <w:r>
        <w:rPr>
          <w:szCs w:val="22"/>
        </w:rPr>
        <w:tab/>
        <w:t xml:space="preserve">The </w:t>
      </w:r>
      <w:r w:rsidR="00ED4DCA">
        <w:t>Republic of Latvia</w:t>
      </w:r>
      <w:r w:rsidR="00161B0E" w:rsidRPr="00FA4DB7">
        <w:rPr>
          <w:szCs w:val="22"/>
          <w:lang w:val="en-US"/>
        </w:rPr>
        <w:t xml:space="preserve"> </w:t>
      </w:r>
      <w:r w:rsidRPr="00FA4DB7">
        <w:rPr>
          <w:szCs w:val="22"/>
          <w:lang w:val="en-US"/>
        </w:rPr>
        <w:t>declares, in accordance with Article XXX of the Protocol, that it will apply Article XIII of the Protocol.</w:t>
      </w:r>
      <w:r w:rsidRPr="00FA4DB7">
        <w:rPr>
          <w:color w:val="3D4143"/>
          <w:szCs w:val="22"/>
          <w:lang w:val="en-US"/>
        </w:rPr>
        <w:t> </w:t>
      </w:r>
    </w:p>
    <w:p w14:paraId="5D74D79E" w14:textId="77777777" w:rsidR="00837658" w:rsidRDefault="00837658" w:rsidP="00837658">
      <w:pPr>
        <w:pStyle w:val="Textoindependiente"/>
        <w:spacing w:after="0"/>
        <w:jc w:val="left"/>
        <w:rPr>
          <w:color w:val="3D4143"/>
          <w:szCs w:val="22"/>
          <w:lang w:val="en-US"/>
        </w:rPr>
      </w:pPr>
    </w:p>
    <w:p w14:paraId="5D74D79F" w14:textId="5CEF9396" w:rsidR="00837658" w:rsidRPr="002F542F" w:rsidRDefault="00837658" w:rsidP="00837658">
      <w:pPr>
        <w:pStyle w:val="Textoindependiente"/>
        <w:spacing w:after="0"/>
        <w:jc w:val="left"/>
        <w:rPr>
          <w:color w:val="3D4143"/>
          <w:szCs w:val="22"/>
          <w:lang w:val="en-US"/>
        </w:rPr>
      </w:pPr>
      <w:r w:rsidRPr="002F542F">
        <w:rPr>
          <w:szCs w:val="22"/>
        </w:rPr>
        <w:t>5.</w:t>
      </w:r>
      <w:r>
        <w:rPr>
          <w:color w:val="3D4143"/>
          <w:szCs w:val="22"/>
          <w:lang w:val="en-US"/>
        </w:rPr>
        <w:t xml:space="preserve"> </w:t>
      </w:r>
      <w:r>
        <w:rPr>
          <w:color w:val="3D4143"/>
          <w:szCs w:val="22"/>
          <w:lang w:val="en-US"/>
        </w:rPr>
        <w:tab/>
      </w:r>
      <w:r w:rsidRPr="002F542F">
        <w:rPr>
          <w:szCs w:val="22"/>
        </w:rPr>
        <w:t xml:space="preserve">The </w:t>
      </w:r>
      <w:r w:rsidR="00ED4DCA">
        <w:t>Republic of Latvia</w:t>
      </w:r>
      <w:r w:rsidRPr="002F542F">
        <w:rPr>
          <w:szCs w:val="22"/>
        </w:rPr>
        <w:t xml:space="preserve"> declares, in accordance with Article XXX(2), that it will apply  Article X of the Protocol, and for purposes thereof, ‘speedy’ shall mean the number working days (i) for the remedies specified in Articles 13(1)(a), (b), and (c) of the Convention, equal to not more than (10) calendar days, and (ii) for the remedies specified in Articles 13(1)(d) and (e) of the Convention, equal to not more than thirty (30) calendar days.</w:t>
      </w:r>
      <w:r>
        <w:rPr>
          <w:color w:val="3D4143"/>
          <w:szCs w:val="22"/>
          <w:lang w:val="en-US"/>
        </w:rPr>
        <w:tab/>
      </w:r>
      <w:r w:rsidRPr="00FA4DB7">
        <w:rPr>
          <w:color w:val="3D4143"/>
          <w:szCs w:val="22"/>
          <w:lang w:val="en-US"/>
        </w:rPr>
        <w:br/>
      </w:r>
      <w:r w:rsidRPr="00FA4DB7">
        <w:rPr>
          <w:color w:val="3D4143"/>
          <w:szCs w:val="22"/>
          <w:lang w:val="en-US"/>
        </w:rPr>
        <w:br/>
      </w:r>
    </w:p>
    <w:p w14:paraId="5D74D7A0" w14:textId="77777777" w:rsidR="00837658" w:rsidRPr="00FA4DB7" w:rsidRDefault="00837658" w:rsidP="00837658">
      <w:pPr>
        <w:spacing w:after="0"/>
        <w:rPr>
          <w:rFonts w:ascii="Times New Roman" w:hAnsi="Times New Roman"/>
          <w:lang w:val="en-GB"/>
        </w:rPr>
      </w:pPr>
    </w:p>
    <w:p w14:paraId="5D74D7A1" w14:textId="77777777" w:rsidR="00837658" w:rsidRPr="00FA4DB7" w:rsidRDefault="00837658" w:rsidP="00837658">
      <w:pPr>
        <w:spacing w:after="0"/>
        <w:rPr>
          <w:rFonts w:ascii="Times New Roman" w:hAnsi="Times New Roman"/>
          <w:b/>
          <w:bCs/>
          <w:i/>
          <w:iCs/>
          <w:lang w:val="en-GB"/>
        </w:rPr>
      </w:pPr>
    </w:p>
    <w:p w14:paraId="5D74D7A2" w14:textId="77777777" w:rsidR="00837658" w:rsidRPr="00FA4DB7" w:rsidRDefault="00837658" w:rsidP="00837658">
      <w:pPr>
        <w:rPr>
          <w:rFonts w:ascii="Times New Roman" w:hAnsi="Times New Roman"/>
          <w:b/>
          <w:bCs/>
          <w:i/>
          <w:iCs/>
          <w:lang w:val="en-GB"/>
        </w:rPr>
      </w:pPr>
    </w:p>
    <w:p w14:paraId="5D74D7A3" w14:textId="77777777" w:rsidR="00837658" w:rsidRPr="00FA4DB7" w:rsidRDefault="00837658" w:rsidP="00837658">
      <w:pPr>
        <w:rPr>
          <w:rFonts w:ascii="Times New Roman" w:hAnsi="Times New Roman"/>
          <w:b/>
          <w:bCs/>
          <w:i/>
          <w:iCs/>
          <w:lang w:val="en-GB"/>
        </w:rPr>
      </w:pPr>
    </w:p>
    <w:p w14:paraId="5D74D7A4" w14:textId="77777777" w:rsidR="00837658" w:rsidRPr="00FA4DB7" w:rsidRDefault="00837658" w:rsidP="00837658">
      <w:pPr>
        <w:rPr>
          <w:rFonts w:ascii="Times New Roman" w:hAnsi="Times New Roman"/>
          <w:b/>
          <w:bCs/>
          <w:i/>
          <w:iCs/>
          <w:lang w:val="en-GB"/>
        </w:rPr>
      </w:pPr>
    </w:p>
    <w:p w14:paraId="5D74D7A5" w14:textId="77777777" w:rsidR="00837658" w:rsidRPr="00FA4DB7" w:rsidRDefault="00837658" w:rsidP="00837658">
      <w:pPr>
        <w:rPr>
          <w:rFonts w:ascii="Times New Roman" w:hAnsi="Times New Roman"/>
          <w:b/>
          <w:bCs/>
          <w:i/>
          <w:iCs/>
          <w:lang w:val="en-GB"/>
        </w:rPr>
      </w:pPr>
    </w:p>
    <w:p w14:paraId="5D74D7A6" w14:textId="77777777" w:rsidR="00837658" w:rsidRPr="00FA4DB7" w:rsidRDefault="00837658" w:rsidP="00837658">
      <w:pPr>
        <w:rPr>
          <w:rFonts w:ascii="Times New Roman" w:hAnsi="Times New Roman"/>
          <w:b/>
          <w:bCs/>
          <w:i/>
          <w:iCs/>
          <w:lang w:val="en-GB"/>
        </w:rPr>
      </w:pPr>
    </w:p>
    <w:p w14:paraId="5D74D7A7" w14:textId="77777777" w:rsidR="00837658" w:rsidRPr="00FA4DB7" w:rsidRDefault="00837658" w:rsidP="00837658">
      <w:pPr>
        <w:rPr>
          <w:rFonts w:ascii="Times New Roman" w:hAnsi="Times New Roman"/>
          <w:b/>
          <w:bCs/>
          <w:i/>
          <w:iCs/>
          <w:lang w:val="en-GB"/>
        </w:rPr>
      </w:pPr>
    </w:p>
    <w:p w14:paraId="5D74D7A8" w14:textId="77777777" w:rsidR="00837658" w:rsidRPr="00FA4DB7" w:rsidRDefault="00837658" w:rsidP="00837658">
      <w:pPr>
        <w:rPr>
          <w:rFonts w:ascii="Times New Roman" w:hAnsi="Times New Roman"/>
          <w:b/>
          <w:bCs/>
          <w:i/>
          <w:iCs/>
          <w:lang w:val="en-GB"/>
        </w:rPr>
      </w:pPr>
    </w:p>
    <w:p w14:paraId="5D74D7A9" w14:textId="77777777" w:rsidR="00837658" w:rsidRPr="00FA4DB7" w:rsidRDefault="00837658" w:rsidP="00837658">
      <w:pPr>
        <w:rPr>
          <w:rFonts w:ascii="Times New Roman" w:hAnsi="Times New Roman"/>
          <w:b/>
          <w:bCs/>
          <w:i/>
          <w:iCs/>
          <w:lang w:val="en-GB"/>
        </w:rPr>
      </w:pPr>
    </w:p>
    <w:p w14:paraId="5D74D7AA" w14:textId="77777777" w:rsidR="00837658" w:rsidRPr="00FA4DB7" w:rsidRDefault="00837658" w:rsidP="00837658">
      <w:pPr>
        <w:rPr>
          <w:rFonts w:ascii="Times New Roman" w:hAnsi="Times New Roman"/>
          <w:b/>
          <w:bCs/>
          <w:i/>
          <w:iCs/>
          <w:lang w:val="en-GB"/>
        </w:rPr>
      </w:pPr>
    </w:p>
    <w:p w14:paraId="5D74D7AB" w14:textId="77777777" w:rsidR="00837658" w:rsidRDefault="00837658" w:rsidP="00837658">
      <w:pPr>
        <w:spacing w:after="240" w:line="240" w:lineRule="auto"/>
        <w:rPr>
          <w:rFonts w:ascii="Times New Roman" w:hAnsi="Times New Roman"/>
          <w:b/>
          <w:bCs/>
          <w:i/>
          <w:iCs/>
          <w:lang w:val="en-GB"/>
        </w:rPr>
      </w:pPr>
    </w:p>
    <w:p w14:paraId="5D74D7AC" w14:textId="77777777" w:rsidR="00837658" w:rsidRDefault="00837658" w:rsidP="00837658">
      <w:pPr>
        <w:spacing w:after="240" w:line="240" w:lineRule="auto"/>
        <w:rPr>
          <w:rFonts w:ascii="Times New Roman" w:hAnsi="Times New Roman"/>
          <w:b/>
          <w:bCs/>
          <w:i/>
          <w:iCs/>
          <w:lang w:val="en-GB"/>
        </w:rPr>
      </w:pPr>
    </w:p>
    <w:p w14:paraId="5D74D7AD" w14:textId="77777777" w:rsidR="00837658" w:rsidRDefault="00837658" w:rsidP="00837658">
      <w:pPr>
        <w:spacing w:after="240" w:line="240" w:lineRule="auto"/>
        <w:rPr>
          <w:rFonts w:ascii="Times New Roman" w:eastAsia="Times New Roman" w:hAnsi="Times New Roman"/>
          <w:b/>
          <w:bCs/>
          <w:u w:val="single"/>
          <w:lang w:val="en-GB"/>
        </w:rPr>
      </w:pPr>
    </w:p>
    <w:p w14:paraId="5D74D7AE" w14:textId="77777777" w:rsidR="00837658" w:rsidRDefault="00837658" w:rsidP="00837658">
      <w:pPr>
        <w:spacing w:after="240" w:line="240" w:lineRule="auto"/>
        <w:jc w:val="center"/>
        <w:rPr>
          <w:rFonts w:ascii="Times New Roman" w:eastAsia="Times New Roman" w:hAnsi="Times New Roman"/>
          <w:b/>
          <w:bCs/>
          <w:u w:val="single"/>
          <w:lang w:val="en-GB"/>
        </w:rPr>
      </w:pPr>
    </w:p>
    <w:p w14:paraId="5D74D7AF" w14:textId="19120B07" w:rsidR="00837658" w:rsidRDefault="00837658" w:rsidP="00837658">
      <w:pPr>
        <w:spacing w:after="240" w:line="240" w:lineRule="auto"/>
        <w:jc w:val="center"/>
        <w:rPr>
          <w:rFonts w:ascii="Times New Roman" w:eastAsia="Times New Roman" w:hAnsi="Times New Roman"/>
          <w:b/>
          <w:bCs/>
          <w:u w:val="single"/>
          <w:lang w:val="en-GB"/>
        </w:rPr>
      </w:pPr>
      <w:r w:rsidRPr="00FA4DB7">
        <w:rPr>
          <w:rFonts w:ascii="Times New Roman" w:eastAsia="Times New Roman" w:hAnsi="Times New Roman"/>
          <w:b/>
          <w:bCs/>
          <w:u w:val="single"/>
          <w:lang w:val="en-GB"/>
        </w:rPr>
        <w:t>Annexure 4</w:t>
      </w:r>
      <w:r w:rsidR="00075BBE">
        <w:rPr>
          <w:rFonts w:ascii="Times New Roman" w:eastAsia="Times New Roman" w:hAnsi="Times New Roman"/>
          <w:b/>
          <w:bCs/>
          <w:u w:val="single"/>
          <w:lang w:val="en-GB"/>
        </w:rPr>
        <w:t xml:space="preserve"> (a)</w:t>
      </w:r>
    </w:p>
    <w:p w14:paraId="643DC8E8" w14:textId="3151636B" w:rsidR="00075BBE" w:rsidRDefault="00075BBE" w:rsidP="00837658">
      <w:pPr>
        <w:spacing w:after="240" w:line="240" w:lineRule="auto"/>
        <w:jc w:val="center"/>
        <w:rPr>
          <w:rFonts w:ascii="Times New Roman" w:eastAsia="Times New Roman" w:hAnsi="Times New Roman"/>
          <w:b/>
          <w:bCs/>
          <w:u w:val="single"/>
          <w:lang w:val="en-GB"/>
        </w:rPr>
      </w:pPr>
    </w:p>
    <w:p w14:paraId="046A1B87" w14:textId="1A0CD544" w:rsidR="00075BBE" w:rsidRDefault="00075BBE" w:rsidP="00075BBE">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short-form model regulations </w:t>
      </w:r>
    </w:p>
    <w:p w14:paraId="5D83CAEB" w14:textId="77777777"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Regulations </w:t>
      </w:r>
    </w:p>
    <w:p w14:paraId="240C8F63" w14:textId="37DDC118"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Regulations of the Civil Aviation Authority </w:t>
      </w:r>
      <w:r w:rsidR="00161B0E">
        <w:rPr>
          <w:rFonts w:ascii="Times New Roman" w:eastAsia="Times New Roman" w:hAnsi="Times New Roman"/>
          <w:b/>
          <w:lang w:val="en-GB"/>
        </w:rPr>
        <w:t xml:space="preserve">of </w:t>
      </w:r>
      <w:r w:rsidR="00ED4DCA">
        <w:rPr>
          <w:rFonts w:ascii="Times New Roman" w:eastAsia="Times New Roman" w:hAnsi="Times New Roman"/>
          <w:b/>
          <w:lang w:val="en-GB"/>
        </w:rPr>
        <w:t>Latvia</w:t>
      </w:r>
      <w:r w:rsidR="00161B0E">
        <w:rPr>
          <w:rFonts w:ascii="Times New Roman" w:eastAsia="Times New Roman" w:hAnsi="Times New Roman"/>
          <w:b/>
          <w:lang w:val="en-GB"/>
        </w:rPr>
        <w:t xml:space="preserve"> </w:t>
      </w:r>
      <w:r>
        <w:rPr>
          <w:rFonts w:ascii="Times New Roman" w:eastAsia="Times New Roman" w:hAnsi="Times New Roman"/>
          <w:b/>
          <w:lang w:val="en-GB"/>
        </w:rPr>
        <w:t>(IDERA)</w:t>
      </w:r>
    </w:p>
    <w:p w14:paraId="10E57FAA" w14:textId="0C5FCB32"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 </w:t>
      </w:r>
      <w:r w:rsidRPr="00161B0E">
        <w:rPr>
          <w:rFonts w:ascii="Times New Roman" w:hAnsi="Times New Roman"/>
          <w:b/>
          <w:lang w:val="en-US"/>
        </w:rPr>
        <w:t>Purpose and Effect</w:t>
      </w:r>
      <w:r w:rsidRPr="00161B0E">
        <w:rPr>
          <w:rFonts w:ascii="Times New Roman" w:hAnsi="Times New Roman"/>
          <w:lang w:val="en-US"/>
        </w:rPr>
        <w:t>:</w:t>
      </w:r>
      <w:r w:rsidRPr="00161B0E">
        <w:rPr>
          <w:rFonts w:ascii="Times New Roman" w:hAnsi="Times New Roman"/>
          <w:lang w:val="en-US"/>
        </w:rPr>
        <w:tab/>
        <w:t xml:space="preserve">The purpose of this regulation is to provide procedures for (a) recording and cancelling an IDERA, and (b) De-Registering Aircraft and Exporting Aircraft Objects under an IDERA. This regulation applies to Aircraft registered in </w:t>
      </w:r>
      <w:r w:rsidR="00161B0E">
        <w:rPr>
          <w:rFonts w:ascii="Times New Roman" w:hAnsi="Times New Roman"/>
          <w:lang w:val="en-US"/>
        </w:rPr>
        <w:t xml:space="preserve">the </w:t>
      </w:r>
      <w:r w:rsidR="00ED4DCA">
        <w:rPr>
          <w:rFonts w:ascii="Times New Roman" w:eastAsia="Times New Roman" w:hAnsi="Times New Roman"/>
          <w:lang w:val="en-GB"/>
        </w:rPr>
        <w:t>Republic of Latvia</w:t>
      </w:r>
      <w:r w:rsidRPr="00161B0E">
        <w:rPr>
          <w:rFonts w:ascii="Times New Roman" w:hAnsi="Times New Roman"/>
          <w:lang w:val="en-US"/>
        </w:rPr>
        <w:t xml:space="preserve"> and, for purposes of any Export remedies, Aircraft Objects located in</w:t>
      </w:r>
      <w:r w:rsidR="00161B0E">
        <w:rPr>
          <w:rFonts w:ascii="Times New Roman" w:hAnsi="Times New Roman"/>
          <w:lang w:val="en-US"/>
        </w:rPr>
        <w:t xml:space="preserve"> the </w:t>
      </w:r>
      <w:r w:rsidR="00ED4DCA">
        <w:rPr>
          <w:rFonts w:ascii="Times New Roman" w:eastAsia="Times New Roman" w:hAnsi="Times New Roman"/>
          <w:lang w:val="en-GB"/>
        </w:rPr>
        <w:t>Republic of Latvia</w:t>
      </w:r>
      <w:r w:rsidRPr="00161B0E">
        <w:rPr>
          <w:rFonts w:ascii="Times New Roman" w:hAnsi="Times New Roman"/>
          <w:lang w:val="en-US"/>
        </w:rPr>
        <w:t>, and is effective on entry into force [</w:t>
      </w:r>
      <w:r w:rsidR="00161B0E">
        <w:rPr>
          <w:rFonts w:ascii="Times New Roman" w:hAnsi="Times New Roman"/>
          <w:lang w:val="en-US"/>
        </w:rPr>
        <w:t xml:space="preserve"> </w:t>
      </w:r>
      <w:proofErr w:type="gramStart"/>
      <w:r w:rsidR="00161B0E" w:rsidRPr="00161B0E">
        <w:rPr>
          <w:rFonts w:ascii="Times New Roman" w:hAnsi="Times New Roman"/>
          <w:i/>
          <w:lang w:val="en-US"/>
        </w:rPr>
        <w:t>date</w:t>
      </w:r>
      <w:r w:rsidRPr="00161B0E">
        <w:rPr>
          <w:rFonts w:ascii="Times New Roman" w:hAnsi="Times New Roman"/>
          <w:lang w:val="en-US"/>
        </w:rPr>
        <w:t xml:space="preserve"> ]</w:t>
      </w:r>
      <w:proofErr w:type="gramEnd"/>
      <w:r w:rsidRPr="00161B0E">
        <w:rPr>
          <w:rFonts w:ascii="Times New Roman" w:hAnsi="Times New Roman"/>
          <w:lang w:val="en-US"/>
        </w:rPr>
        <w:t xml:space="preserve"> of the Treaty, provided that Sections 4, 5, and 7 apply to an IDERA recorded by the Registry Authority prior to that date.  This regulation prevails over conflicting law.</w:t>
      </w:r>
    </w:p>
    <w:p w14:paraId="4F5F6729" w14:textId="549A637A"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2.</w:t>
      </w:r>
      <w:r w:rsidRPr="00161B0E">
        <w:rPr>
          <w:rFonts w:ascii="Times New Roman" w:eastAsia="Bookman Old Style Bold" w:hAnsi="Times New Roman"/>
          <w:b/>
          <w:bCs/>
          <w:lang w:val="en-US"/>
        </w:rPr>
        <w:t xml:space="preserve"> Background: </w:t>
      </w:r>
      <w:r w:rsidR="00161B0E">
        <w:rPr>
          <w:rFonts w:ascii="Times New Roman" w:hAnsi="Times New Roman"/>
          <w:lang w:val="en-US"/>
        </w:rPr>
        <w:t xml:space="preserve">The </w:t>
      </w:r>
      <w:r w:rsidR="00ED4DCA">
        <w:rPr>
          <w:rFonts w:ascii="Times New Roman" w:hAnsi="Times New Roman"/>
          <w:lang w:val="en-US"/>
        </w:rPr>
        <w:t>Republic of Latvia</w:t>
      </w:r>
      <w:r w:rsidRPr="00161B0E">
        <w:rPr>
          <w:rFonts w:ascii="Times New Roman" w:hAnsi="Times New Roman"/>
          <w:lang w:val="en-US"/>
        </w:rPr>
        <w:t xml:space="preserve"> is a Contracting State to the Treaty and made a declaration under Article </w:t>
      </w:r>
      <w:proofErr w:type="gramStart"/>
      <w:r w:rsidRPr="00161B0E">
        <w:rPr>
          <w:rFonts w:ascii="Times New Roman" w:hAnsi="Times New Roman"/>
          <w:lang w:val="en-US"/>
        </w:rPr>
        <w:t>XXX(</w:t>
      </w:r>
      <w:proofErr w:type="gramEnd"/>
      <w:r w:rsidRPr="00161B0E">
        <w:rPr>
          <w:rFonts w:ascii="Times New Roman" w:hAnsi="Times New Roman"/>
          <w:lang w:val="en-US"/>
        </w:rPr>
        <w:t>1) of the Protocol providing for the recording and enforcement of IDERAs.</w:t>
      </w:r>
    </w:p>
    <w:p w14:paraId="1A0577E6" w14:textId="0BF7E21F"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3.</w:t>
      </w:r>
      <w:r>
        <w:rPr>
          <w:rFonts w:ascii="Times New Roman" w:eastAsia="Bookman Old Style Bold" w:hAnsi="Times New Roman"/>
          <w:b/>
          <w:bCs/>
          <w:lang w:val="it-IT"/>
        </w:rPr>
        <w:t xml:space="preserve"> IDERA Recordation:</w:t>
      </w:r>
      <w:r w:rsidRPr="00161B0E">
        <w:rPr>
          <w:rFonts w:ascii="Times New Roman" w:hAnsi="Times New Roman"/>
          <w:lang w:val="en-US"/>
        </w:rPr>
        <w:t xml:space="preserve"> The Registry Authority will accept and record an IDERA if it: (a) is submitted in writing to the Registry Authority substantially in the form set forth in the Protocol; (b) identifies an Aircraft registered or to be registered in the </w:t>
      </w:r>
      <w:r w:rsidR="00ED4DCA">
        <w:rPr>
          <w:rFonts w:ascii="Times New Roman" w:hAnsi="Times New Roman"/>
          <w:lang w:val="en-US"/>
        </w:rPr>
        <w:t>Latvian</w:t>
      </w:r>
      <w:r w:rsidRPr="00161B0E">
        <w:rPr>
          <w:rFonts w:ascii="Times New Roman" w:hAnsi="Times New Roman"/>
          <w:lang w:val="en-US"/>
        </w:rPr>
        <w:t xml:space="preserve"> Aircraft Register; and (c) is signed by an Applicant. The Registry Authority will record an IDERA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No IDERA may be recorded for an Aircraft if a prior IDERA has been recorded by the Registry Authority for that Aircraft which has not been revoked in accordance with Section 5.</w:t>
      </w:r>
      <w:r w:rsidRPr="00161B0E">
        <w:rPr>
          <w:lang w:val="en-US"/>
        </w:rPr>
        <w:t xml:space="preserve"> </w:t>
      </w:r>
      <w:r w:rsidRPr="00161B0E">
        <w:rPr>
          <w:rFonts w:ascii="Times New Roman" w:hAnsi="Times New Roman"/>
          <w:lang w:val="en-US"/>
        </w:rPr>
        <w:t>Without limiting the Registry Authority’s authority to De-Register aircraft under applicable law, once an IDERA has been recorded in respect of an Aircraft, the Applicant may not request that the Aircraft be De-Registered, unless the IDERA has been revoked in accordance with Section 5.</w:t>
      </w:r>
    </w:p>
    <w:p w14:paraId="5ED56A86" w14:textId="77777777" w:rsidR="00F30224" w:rsidRPr="00161B0E" w:rsidRDefault="00F30224" w:rsidP="00F30224">
      <w:pPr>
        <w:spacing w:after="240" w:line="240" w:lineRule="auto"/>
        <w:jc w:val="both"/>
        <w:rPr>
          <w:rFonts w:ascii="Times New Roman" w:hAnsi="Times New Roman"/>
          <w:b/>
          <w:bCs/>
          <w:lang w:val="en-US"/>
        </w:rPr>
      </w:pPr>
      <w:r w:rsidRPr="00161B0E">
        <w:rPr>
          <w:rFonts w:ascii="Times New Roman" w:hAnsi="Times New Roman"/>
          <w:lang w:val="en-US"/>
        </w:rPr>
        <w:t xml:space="preserve">4. </w:t>
      </w:r>
      <w:r w:rsidRPr="00161B0E">
        <w:rPr>
          <w:rFonts w:ascii="Times New Roman" w:hAnsi="Times New Roman"/>
          <w:b/>
          <w:bCs/>
          <w:lang w:val="en-US"/>
        </w:rPr>
        <w:t xml:space="preserve">Certified Designee: </w:t>
      </w:r>
      <w:r w:rsidRPr="00161B0E">
        <w:rPr>
          <w:rFonts w:ascii="Times New Roman" w:hAnsi="Times New Roman"/>
          <w:bCs/>
          <w:lang w:val="en-US"/>
        </w:rPr>
        <w:t xml:space="preserve">The Registry Authority will accept and record a Designation, whereby an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appoints a Certified Designee, if: (a) it is submitted in writing to the Registry Authority; (b) it identifies the Certified Designee appointed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IDERA to which it applies; (c) no other Designation is recorded for the relevant IDERA; and (d) it is signed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The Registry Authority will record a Designation within five working days of </w:t>
      </w:r>
      <w:proofErr w:type="gramStart"/>
      <w:r w:rsidRPr="00161B0E">
        <w:rPr>
          <w:rFonts w:ascii="Times New Roman" w:hAnsi="Times New Roman"/>
          <w:bCs/>
          <w:lang w:val="en-US"/>
        </w:rPr>
        <w:t>receipt, and</w:t>
      </w:r>
      <w:proofErr w:type="gramEnd"/>
      <w:r w:rsidRPr="00161B0E">
        <w:rPr>
          <w:rFonts w:ascii="Times New Roman" w:hAnsi="Times New Roman"/>
          <w:bCs/>
          <w:lang w:val="en-US"/>
        </w:rPr>
        <w:t xml:space="preserve"> will promptly confirm to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Certified Designee that recordation is complete. </w:t>
      </w:r>
    </w:p>
    <w:p w14:paraId="3C648AD2"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5. </w:t>
      </w:r>
      <w:r w:rsidRPr="00161B0E">
        <w:rPr>
          <w:rFonts w:ascii="Times New Roman" w:hAnsi="Times New Roman"/>
          <w:b/>
          <w:bCs/>
          <w:lang w:val="en-US"/>
        </w:rPr>
        <w:t xml:space="preserve">Revocation of an IDERA or Designation: </w:t>
      </w:r>
      <w:r w:rsidRPr="00161B0E">
        <w:rPr>
          <w:rFonts w:ascii="Times New Roman" w:hAnsi="Times New Roman"/>
          <w:lang w:val="en-US"/>
        </w:rPr>
        <w:t xml:space="preserve">An IDERA or appointment of a Certified Designee shall be revoked and be of no further effect if a revocation: (a) is submitted in writing to the Registry Authority, (b) identifies the IDERA or Designation to which it applies; and (c) is signed in the case of an IDERA,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in the case of a Designation, by the Certified Designee. The Registry Authority will record a revocation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An Applicant shall have no power to issue a revocation in respect of an IDERA or Designation. Once a revocation has been recorded, the Registry Authority will not take any action for or on behalf of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 revoked IDERA) or a Certified </w:t>
      </w:r>
      <w:r w:rsidRPr="00161B0E">
        <w:rPr>
          <w:rFonts w:ascii="Times New Roman" w:hAnsi="Times New Roman"/>
          <w:lang w:val="en-US"/>
        </w:rPr>
        <w:lastRenderedPageBreak/>
        <w:t>Designee (in respect of a revoked Designation) and the revoked IDERA or Designation (as the case may be) shall be of no further force and effect. The validity of an IDERA shall not be affected by the revocation of a related Designation.</w:t>
      </w:r>
    </w:p>
    <w:p w14:paraId="782E6297"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6. </w:t>
      </w:r>
      <w:r w:rsidRPr="00161B0E">
        <w:rPr>
          <w:rFonts w:ascii="Times New Roman" w:hAnsi="Times New Roman"/>
          <w:b/>
          <w:lang w:val="en-US"/>
        </w:rPr>
        <w:t>IDERA Remedies</w:t>
      </w:r>
      <w:r w:rsidRPr="00161B0E">
        <w:rPr>
          <w:rFonts w:ascii="Times New Roman" w:hAnsi="Times New Roman"/>
          <w:lang w:val="en-US"/>
        </w:rPr>
        <w:t xml:space="preserve">: If an IDERA is recorded,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a Designation is also recorded, its Certified Designee shall be the sole person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to deliver a request and exercise the remedies specified in this regulation and in Article </w:t>
      </w:r>
      <w:proofErr w:type="gramStart"/>
      <w:r w:rsidRPr="00161B0E">
        <w:rPr>
          <w:rFonts w:ascii="Times New Roman" w:hAnsi="Times New Roman"/>
          <w:lang w:val="en-US"/>
        </w:rPr>
        <w:t>IX(</w:t>
      </w:r>
      <w:proofErr w:type="gramEnd"/>
      <w:r w:rsidRPr="00161B0E">
        <w:rPr>
          <w:rFonts w:ascii="Times New Roman" w:hAnsi="Times New Roman"/>
          <w:lang w:val="en-US"/>
        </w:rPr>
        <w:t>1) of the Protocol pursuant to such IDERA.</w:t>
      </w:r>
    </w:p>
    <w:p w14:paraId="268945ED" w14:textId="0817B8D0"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7. </w:t>
      </w:r>
      <w:r w:rsidRPr="00161B0E">
        <w:rPr>
          <w:rFonts w:ascii="Times New Roman" w:hAnsi="Times New Roman"/>
          <w:b/>
          <w:lang w:val="en-US"/>
        </w:rPr>
        <w:t>Exercise of Remedies</w:t>
      </w:r>
      <w:r w:rsidRPr="00161B0E">
        <w:rPr>
          <w:rFonts w:ascii="Times New Roman" w:hAnsi="Times New Roman"/>
          <w:lang w:val="en-US"/>
        </w:rPr>
        <w:t xml:space="preserve">: A request to exercise IDERA remedies will be accepted by the Registry Authority if it: (a) is submitted in writing, identifying the applicable rights and remedies that are to be exercised; (b)  identifies an IDERA recorded in the </w:t>
      </w:r>
      <w:r w:rsidR="00ED4DCA">
        <w:rPr>
          <w:rFonts w:ascii="Times New Roman" w:hAnsi="Times New Roman"/>
          <w:lang w:val="en-US"/>
        </w:rPr>
        <w:t>Latvian</w:t>
      </w:r>
      <w:r w:rsidRPr="00161B0E">
        <w:rPr>
          <w:rFonts w:ascii="Times New Roman" w:hAnsi="Times New Roman"/>
          <w:lang w:val="en-US"/>
        </w:rPr>
        <w:t xml:space="preserve"> Aircraft Register; (c) in line with Article IX(5) of the Protocol, the Authorized Party certifies that there are no registered interests in the Treaty’s international registry ranking in priority to that of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there are, that they been discharged or the holders thereof have consented to the exercise of such IDERA remedies, and (d) is signed by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The Registry Authority will </w:t>
      </w:r>
      <w:proofErr w:type="spellStart"/>
      <w:r w:rsidRPr="00161B0E">
        <w:rPr>
          <w:rFonts w:ascii="Times New Roman" w:hAnsi="Times New Roman"/>
          <w:lang w:val="en-US"/>
        </w:rPr>
        <w:t>honour</w:t>
      </w:r>
      <w:proofErr w:type="spellEnd"/>
      <w:r w:rsidRPr="00161B0E">
        <w:rPr>
          <w:rFonts w:ascii="Times New Roman" w:hAnsi="Times New Roman"/>
          <w:lang w:val="en-US"/>
        </w:rPr>
        <w:t xml:space="preserve"> each request submitted in accordance with this Section, to the extent so requested, by effecting the De-registration of the Aircraft, and taking all action within its power to effect or facilitate the Export of the Aircraft and any Related Engines in an expeditious manner, and, in any event, within five working days of receipt of the request. The Registry Authority will promptly provide a certificate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evidencing De-Registration. No additional consent, approval, court or other order or decision, additional requirements, condition or any other action shall be required </w:t>
      </w:r>
      <w:proofErr w:type="gramStart"/>
      <w:r w:rsidRPr="00161B0E">
        <w:rPr>
          <w:rFonts w:ascii="Times New Roman" w:hAnsi="Times New Roman"/>
          <w:lang w:val="en-US"/>
        </w:rPr>
        <w:t>in order for</w:t>
      </w:r>
      <w:proofErr w:type="gramEnd"/>
      <w:r w:rsidRPr="00161B0E">
        <w:rPr>
          <w:rFonts w:ascii="Times New Roman" w:hAnsi="Times New Roman"/>
          <w:lang w:val="en-US"/>
        </w:rPr>
        <w:t xml:space="preserve"> the Registry Authority to comply with any request made under this Section. The exercise of any Export remedy shall be subject to applicable Export-Related Safety Laws.  </w:t>
      </w:r>
    </w:p>
    <w:p w14:paraId="7B4C4D5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8. </w:t>
      </w:r>
      <w:r w:rsidRPr="00161B0E">
        <w:rPr>
          <w:rFonts w:ascii="Times New Roman" w:hAnsi="Times New Roman"/>
          <w:b/>
          <w:lang w:val="en-US"/>
        </w:rPr>
        <w:t>Engines</w:t>
      </w:r>
      <w:r w:rsidRPr="00161B0E">
        <w:rPr>
          <w:rFonts w:ascii="Times New Roman" w:hAnsi="Times New Roman"/>
          <w:lang w:val="en-US"/>
        </w:rPr>
        <w:t xml:space="preserve">: A request with respect to an Aircraft will be </w:t>
      </w:r>
      <w:proofErr w:type="spellStart"/>
      <w:r w:rsidRPr="00161B0E">
        <w:rPr>
          <w:rFonts w:ascii="Times New Roman" w:hAnsi="Times New Roman"/>
          <w:lang w:val="en-US"/>
        </w:rPr>
        <w:t>honoured</w:t>
      </w:r>
      <w:proofErr w:type="spellEnd"/>
      <w:r w:rsidRPr="00161B0E">
        <w:rPr>
          <w:rFonts w:ascii="Times New Roman" w:hAnsi="Times New Roman"/>
          <w:lang w:val="en-US"/>
        </w:rPr>
        <w:t xml:space="preserve"> under Section 7 without regard to the identity of the engines and other equipment then installed on that Aircraft. Export remedies under Section 7 will be made available for any Related Engines which are not then installed on the Aircraft.</w:t>
      </w:r>
    </w:p>
    <w:p w14:paraId="3940F8CC" w14:textId="589D987F"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9. </w:t>
      </w:r>
      <w:r w:rsidRPr="00161B0E">
        <w:rPr>
          <w:rFonts w:ascii="Times New Roman" w:hAnsi="Times New Roman"/>
          <w:b/>
          <w:lang w:val="en-US"/>
        </w:rPr>
        <w:t>Further Actions</w:t>
      </w:r>
      <w:r w:rsidRPr="00161B0E">
        <w:rPr>
          <w:rFonts w:ascii="Times New Roman" w:hAnsi="Times New Roman"/>
          <w:lang w:val="en-US"/>
        </w:rPr>
        <w:t xml:space="preserve">: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will, to the extent within its reasonable control, but not as a condition to the De-registration and Export of the Aircraft, remove or cover the Registry’s nationality marks on the Aircraft, return to the Registry Authority the original certificate of registration and certificate of airworthiness for the Aircraft, and change the Aircraft’s transponder code so that it no longer indicates that such Aircraft is registered in</w:t>
      </w:r>
      <w:r w:rsidR="00161B0E">
        <w:rPr>
          <w:rFonts w:ascii="Times New Roman" w:hAnsi="Times New Roman"/>
          <w:lang w:val="en-US"/>
        </w:rPr>
        <w:t xml:space="preserve"> the</w:t>
      </w:r>
      <w:r w:rsidRPr="00161B0E">
        <w:rPr>
          <w:rFonts w:ascii="Times New Roman" w:hAnsi="Times New Roman"/>
          <w:lang w:val="en-US"/>
        </w:rPr>
        <w:t xml:space="preserve"> </w:t>
      </w:r>
      <w:r w:rsidR="00ED4DCA">
        <w:rPr>
          <w:rFonts w:ascii="Times New Roman" w:eastAsia="Times New Roman" w:hAnsi="Times New Roman"/>
          <w:lang w:val="en-GB"/>
        </w:rPr>
        <w:t>Republic of Latvia</w:t>
      </w:r>
      <w:r w:rsidRPr="00161B0E">
        <w:rPr>
          <w:rFonts w:ascii="Times New Roman" w:hAnsi="Times New Roman"/>
          <w:lang w:val="en-US"/>
        </w:rPr>
        <w:t>.</w:t>
      </w:r>
    </w:p>
    <w:p w14:paraId="0C95887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10. </w:t>
      </w:r>
      <w:r w:rsidRPr="00161B0E">
        <w:rPr>
          <w:rFonts w:ascii="Times New Roman" w:hAnsi="Times New Roman"/>
          <w:b/>
          <w:lang w:val="en-US"/>
        </w:rPr>
        <w:t>Document Execution</w:t>
      </w:r>
      <w:r w:rsidRPr="00161B0E">
        <w:rPr>
          <w:rFonts w:ascii="Times New Roman" w:hAnsi="Times New Roman"/>
          <w:lang w:val="en-US"/>
        </w:rPr>
        <w:t xml:space="preserve">: Any document delivered hereunder by an Applicant,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w:t>
      </w:r>
      <w:proofErr w:type="gramStart"/>
      <w:r w:rsidRPr="00161B0E">
        <w:rPr>
          <w:rFonts w:ascii="Times New Roman" w:hAnsi="Times New Roman"/>
          <w:lang w:val="en-US"/>
        </w:rPr>
        <w:t>, as the case may be, may</w:t>
      </w:r>
      <w:proofErr w:type="gramEnd"/>
      <w:r w:rsidRPr="00161B0E">
        <w:rPr>
          <w:rFonts w:ascii="Times New Roman" w:hAnsi="Times New Roman"/>
          <w:lang w:val="en-US"/>
        </w:rPr>
        <w:t xml:space="preserve">, if any of the foregoing is not a natural person, be executed by an Officer of any of the foregoing, or under any other document legally authorizing execution on the foregoing’s behalf. </w:t>
      </w:r>
      <w:r w:rsidRPr="00161B0E">
        <w:rPr>
          <w:rFonts w:ascii="Times New Roman" w:hAnsi="Times New Roman"/>
          <w:lang w:val="en-US"/>
        </w:rPr>
        <w:br w:type="page"/>
      </w:r>
    </w:p>
    <w:p w14:paraId="5FA04B30" w14:textId="77777777" w:rsidR="00F30224" w:rsidRPr="00161B0E" w:rsidRDefault="00F30224" w:rsidP="00F30224">
      <w:pPr>
        <w:spacing w:after="240" w:line="240" w:lineRule="auto"/>
        <w:jc w:val="center"/>
        <w:rPr>
          <w:rFonts w:ascii="Times New Roman" w:hAnsi="Times New Roman"/>
          <w:b/>
          <w:lang w:val="en-US"/>
        </w:rPr>
      </w:pPr>
      <w:r w:rsidRPr="00161B0E">
        <w:rPr>
          <w:rFonts w:ascii="Times New Roman" w:hAnsi="Times New Roman"/>
          <w:b/>
          <w:lang w:val="en-US"/>
        </w:rPr>
        <w:lastRenderedPageBreak/>
        <w:t>Annex</w:t>
      </w:r>
      <w:r w:rsidRPr="00161B0E">
        <w:rPr>
          <w:rFonts w:ascii="Times New Roman" w:hAnsi="Times New Roman"/>
          <w:b/>
          <w:lang w:val="en-US"/>
        </w:rPr>
        <w:br/>
        <w:t>Defined Terms</w:t>
      </w:r>
    </w:p>
    <w:p w14:paraId="23715F1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Terms used without definition in this regulation have the meanings given in the Treaty.</w:t>
      </w:r>
    </w:p>
    <w:p w14:paraId="4F5A738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 xml:space="preserve">Applicant: </w:t>
      </w:r>
      <w:r w:rsidRPr="00161B0E">
        <w:rPr>
          <w:rFonts w:ascii="Times New Roman" w:hAnsi="Times New Roman"/>
          <w:lang w:val="en-US"/>
        </w:rPr>
        <w:t xml:space="preserve">an entity or person that has applied or is applying for the registration of an Aircraft in the Registry. </w:t>
      </w:r>
    </w:p>
    <w:p w14:paraId="5C0E4739"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Certified Designee:</w:t>
      </w:r>
      <w:r w:rsidRPr="00161B0E">
        <w:rPr>
          <w:rFonts w:ascii="Times New Roman" w:hAnsi="Times New Roman"/>
          <w:lang w:val="en-US"/>
        </w:rPr>
        <w:t xml:space="preserve"> an entity or person named in a Designation as the certified designee under an IDERA.</w:t>
      </w:r>
    </w:p>
    <w:p w14:paraId="2ACF3F5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Designation</w:t>
      </w:r>
      <w:r w:rsidRPr="00161B0E">
        <w:rPr>
          <w:rFonts w:ascii="Times New Roman" w:hAnsi="Times New Roman"/>
          <w:lang w:val="en-US"/>
        </w:rPr>
        <w:t xml:space="preserve">: the appointment of a Certified Designee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an IDERA.</w:t>
      </w:r>
    </w:p>
    <w:p w14:paraId="6BBE643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De-Registration:</w:t>
      </w:r>
      <w:r w:rsidRPr="00161B0E">
        <w:rPr>
          <w:rFonts w:ascii="Times New Roman" w:hAnsi="Times New Roman"/>
          <w:lang w:val="en-US"/>
        </w:rPr>
        <w:t xml:space="preserve"> removal of the registration of an Aircraft from the Aircraft Register and promptly providing a certificate evidencing De-Registration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applicable.</w:t>
      </w:r>
    </w:p>
    <w:p w14:paraId="021884BB" w14:textId="0A546D21"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Export:</w:t>
      </w:r>
      <w:r w:rsidRPr="00161B0E">
        <w:rPr>
          <w:rFonts w:ascii="Times New Roman" w:hAnsi="Times New Roman"/>
          <w:lang w:val="en-US"/>
        </w:rPr>
        <w:t xml:space="preserve">  export and physical transfer of an Aircraft from the territory of</w:t>
      </w:r>
      <w:r w:rsidR="00161B0E">
        <w:rPr>
          <w:rFonts w:ascii="Times New Roman" w:hAnsi="Times New Roman"/>
          <w:lang w:val="en-US"/>
        </w:rPr>
        <w:t xml:space="preserve"> the</w:t>
      </w:r>
      <w:r w:rsidRPr="00161B0E">
        <w:rPr>
          <w:rFonts w:ascii="Times New Roman" w:hAnsi="Times New Roman"/>
          <w:lang w:val="en-US"/>
        </w:rPr>
        <w:t xml:space="preserve"> </w:t>
      </w:r>
      <w:r w:rsidR="00ED4DCA">
        <w:rPr>
          <w:rFonts w:ascii="Times New Roman" w:eastAsia="Times New Roman" w:hAnsi="Times New Roman"/>
          <w:lang w:val="en-GB"/>
        </w:rPr>
        <w:t>Republic of Latvia</w:t>
      </w:r>
      <w:r w:rsidRPr="00161B0E">
        <w:rPr>
          <w:rFonts w:ascii="Times New Roman" w:hAnsi="Times New Roman"/>
          <w:lang w:val="en-US"/>
        </w:rPr>
        <w:t>.</w:t>
      </w:r>
    </w:p>
    <w:p w14:paraId="01A8A41F" w14:textId="51B43951"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Export-Related Safety Laws</w:t>
      </w:r>
      <w:r w:rsidRPr="00161B0E">
        <w:rPr>
          <w:rFonts w:ascii="Times New Roman" w:hAnsi="Times New Roman"/>
          <w:lang w:val="en-US"/>
        </w:rPr>
        <w:t xml:space="preserve">: applicable laws and regulations of </w:t>
      </w:r>
      <w:r w:rsidR="00161B0E">
        <w:rPr>
          <w:rFonts w:ascii="Times New Roman" w:hAnsi="Times New Roman"/>
          <w:lang w:val="en-US"/>
        </w:rPr>
        <w:t xml:space="preserve">the </w:t>
      </w:r>
      <w:r w:rsidR="00ED4DCA">
        <w:rPr>
          <w:rFonts w:ascii="Times New Roman" w:eastAsia="Times New Roman" w:hAnsi="Times New Roman"/>
          <w:lang w:val="en-GB"/>
        </w:rPr>
        <w:t>Republic of Latvia</w:t>
      </w:r>
      <w:r w:rsidRPr="00161B0E">
        <w:rPr>
          <w:rFonts w:ascii="Times New Roman" w:hAnsi="Times New Roman"/>
          <w:lang w:val="en-US"/>
        </w:rPr>
        <w:t xml:space="preserve"> which permit the operation in its airspace of an </w:t>
      </w:r>
      <w:r w:rsidRPr="007D6C0D">
        <w:rPr>
          <w:rFonts w:ascii="Times New Roman" w:hAnsi="Times New Roman"/>
          <w:lang w:val="en-CA"/>
        </w:rPr>
        <w:t>aircraft</w:t>
      </w:r>
      <w:r w:rsidRPr="00161B0E">
        <w:rPr>
          <w:rFonts w:ascii="Times New Roman" w:hAnsi="Times New Roman"/>
          <w:lang w:val="en-US"/>
        </w:rPr>
        <w:t xml:space="preserve"> under a ferry or other special flight permit issued by the applicable aviation authorities but excluding any requirement (i) for the issuance of an export certificate of airworthiness, or (ii) for any documents in the possession of, or any action by, an operator of an aircraft.</w:t>
      </w:r>
    </w:p>
    <w:p w14:paraId="3DACF6DB" w14:textId="77777777" w:rsidR="00F30224" w:rsidRPr="00161B0E" w:rsidRDefault="00F30224" w:rsidP="00F30224">
      <w:pPr>
        <w:spacing w:after="240" w:line="240" w:lineRule="auto"/>
        <w:jc w:val="both"/>
        <w:rPr>
          <w:rFonts w:ascii="Times New Roman" w:hAnsi="Times New Roman"/>
          <w:bCs/>
          <w:iCs/>
          <w:lang w:val="en-US"/>
        </w:rPr>
      </w:pPr>
      <w:r w:rsidRPr="00161B0E">
        <w:rPr>
          <w:rFonts w:ascii="Times New Roman" w:hAnsi="Times New Roman"/>
          <w:b/>
          <w:bCs/>
          <w:i/>
          <w:iCs/>
          <w:lang w:val="en-US"/>
        </w:rPr>
        <w:t xml:space="preserve">IDERA: </w:t>
      </w:r>
      <w:r w:rsidRPr="00161B0E">
        <w:rPr>
          <w:rFonts w:ascii="Times New Roman" w:hAnsi="Times New Roman"/>
          <w:bCs/>
          <w:iCs/>
          <w:lang w:val="en-US"/>
        </w:rPr>
        <w:t>an irrevocable deregistration and export request authorization, the form of which is appended to the Protocol.</w:t>
      </w:r>
    </w:p>
    <w:p w14:paraId="2F8705DF"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Officer:</w:t>
      </w:r>
      <w:r w:rsidRPr="00161B0E">
        <w:rPr>
          <w:rFonts w:ascii="Times New Roman" w:hAnsi="Times New Roman"/>
          <w:lang w:val="en-US"/>
        </w:rPr>
        <w:t xml:space="preserve"> of an entity is (i) a member of its board of directors, (ii) its chief executive, operating, financial or legal officer, (iii) a vice president, (iv) its secretary or an assistant secretary, (v) its treasurer or assistant treasurer, (vi) a member or general partner, (vii) a trustee or (v) any other person or entity whose signing authority is acceptable to the Registry Authority.</w:t>
      </w:r>
    </w:p>
    <w:p w14:paraId="69F90C55" w14:textId="723FCE09"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Registry Authority</w:t>
      </w:r>
      <w:r w:rsidRPr="00161B0E">
        <w:rPr>
          <w:rFonts w:ascii="Times New Roman" w:hAnsi="Times New Roman"/>
          <w:lang w:val="en-US"/>
        </w:rPr>
        <w:t xml:space="preserve">: </w:t>
      </w:r>
      <w:r w:rsidR="00161B0E">
        <w:rPr>
          <w:rFonts w:ascii="Times New Roman" w:hAnsi="Times New Roman"/>
          <w:lang w:val="en-US"/>
        </w:rPr>
        <w:t xml:space="preserve">Civil Aviation Authority of </w:t>
      </w:r>
      <w:r w:rsidR="00ED4DCA">
        <w:rPr>
          <w:rFonts w:ascii="Times New Roman" w:hAnsi="Times New Roman"/>
          <w:lang w:val="en-US"/>
        </w:rPr>
        <w:t>Latvia</w:t>
      </w:r>
      <w:r w:rsidR="00161B0E">
        <w:rPr>
          <w:rFonts w:ascii="Times New Roman" w:hAnsi="Times New Roman"/>
          <w:lang w:val="en-US"/>
        </w:rPr>
        <w:t xml:space="preserve">. </w:t>
      </w:r>
    </w:p>
    <w:p w14:paraId="125B0E4B"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Related Engine</w:t>
      </w:r>
      <w:r w:rsidRPr="00161B0E">
        <w:rPr>
          <w:rFonts w:ascii="Times New Roman" w:hAnsi="Times New Roman"/>
          <w:lang w:val="en-US"/>
        </w:rPr>
        <w:t xml:space="preserve">: an engine to which the Treaty applies and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certifies to the Registry Authority is an engine to which the underlying documentation signed by the Applicant, and giving rise to the IDERA, </w:t>
      </w:r>
      <w:proofErr w:type="gramStart"/>
      <w:r w:rsidRPr="00161B0E">
        <w:rPr>
          <w:rFonts w:ascii="Times New Roman" w:hAnsi="Times New Roman"/>
          <w:lang w:val="en-US"/>
        </w:rPr>
        <w:t>applies..</w:t>
      </w:r>
      <w:proofErr w:type="gramEnd"/>
    </w:p>
    <w:p w14:paraId="4A401EEC" w14:textId="6609587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Treaty:</w:t>
      </w:r>
      <w:r w:rsidRPr="00161B0E">
        <w:rPr>
          <w:rFonts w:ascii="Times New Roman" w:hAnsi="Times New Roman"/>
          <w:lang w:val="en-US"/>
        </w:rPr>
        <w:t xml:space="preserve"> </w:t>
      </w:r>
      <w:proofErr w:type="gramStart"/>
      <w:r w:rsidRPr="00161B0E">
        <w:rPr>
          <w:rFonts w:ascii="Times New Roman" w:hAnsi="Times New Roman"/>
          <w:lang w:val="en-US"/>
        </w:rPr>
        <w:t>the</w:t>
      </w:r>
      <w:proofErr w:type="gramEnd"/>
      <w:r w:rsidRPr="00161B0E">
        <w:rPr>
          <w:rFonts w:ascii="Times New Roman" w:hAnsi="Times New Roman"/>
          <w:lang w:val="en-US"/>
        </w:rPr>
        <w:t xml:space="preserve"> Convention on International Interests in Mobile Equipment, 2001 (the </w:t>
      </w:r>
      <w:r w:rsidRPr="00161B0E">
        <w:rPr>
          <w:rFonts w:ascii="Times New Roman" w:hAnsi="Times New Roman"/>
          <w:b/>
          <w:i/>
          <w:lang w:val="en-US"/>
        </w:rPr>
        <w:t>Convention</w:t>
      </w:r>
      <w:r w:rsidRPr="00161B0E">
        <w:rPr>
          <w:rFonts w:ascii="Times New Roman" w:hAnsi="Times New Roman"/>
          <w:lang w:val="en-US"/>
        </w:rPr>
        <w:t xml:space="preserve">), as modified by the Protocol to the Convention on International Interests in Mobile Equipment on Matters Specific to Aircraft Equipment, 2001 (the </w:t>
      </w:r>
      <w:r w:rsidRPr="00161B0E">
        <w:rPr>
          <w:rFonts w:ascii="Times New Roman" w:hAnsi="Times New Roman"/>
          <w:b/>
          <w:i/>
          <w:lang w:val="en-US"/>
        </w:rPr>
        <w:t>Protocol</w:t>
      </w:r>
      <w:r w:rsidRPr="00161B0E">
        <w:rPr>
          <w:rFonts w:ascii="Times New Roman" w:hAnsi="Times New Roman"/>
          <w:lang w:val="en-US"/>
        </w:rPr>
        <w:t xml:space="preserve">), and including the declarations lodged by </w:t>
      </w:r>
      <w:r w:rsidR="00161B0E">
        <w:rPr>
          <w:rFonts w:ascii="Times New Roman" w:hAnsi="Times New Roman"/>
          <w:lang w:val="en-US"/>
        </w:rPr>
        <w:t xml:space="preserve">the </w:t>
      </w:r>
      <w:r w:rsidR="00ED4DCA">
        <w:rPr>
          <w:rFonts w:ascii="Times New Roman" w:eastAsia="Times New Roman" w:hAnsi="Times New Roman"/>
          <w:lang w:val="en-GB"/>
        </w:rPr>
        <w:t>Republic of Latvia</w:t>
      </w:r>
      <w:r w:rsidRPr="00161B0E">
        <w:rPr>
          <w:rFonts w:ascii="Times New Roman" w:hAnsi="Times New Roman"/>
          <w:lang w:val="en-US"/>
        </w:rPr>
        <w:t xml:space="preserve"> in connection with its accession to the Convention and Protocol.</w:t>
      </w:r>
    </w:p>
    <w:p w14:paraId="14A7517E" w14:textId="18EF2F1C" w:rsidR="00075BBE" w:rsidRDefault="00075BBE" w:rsidP="00837658">
      <w:pPr>
        <w:spacing w:after="240" w:line="240" w:lineRule="auto"/>
        <w:jc w:val="center"/>
        <w:rPr>
          <w:rFonts w:ascii="Times New Roman" w:eastAsia="Times New Roman" w:hAnsi="Times New Roman"/>
          <w:b/>
          <w:bCs/>
          <w:u w:val="single"/>
          <w:lang w:val="en-GB"/>
        </w:rPr>
      </w:pPr>
    </w:p>
    <w:p w14:paraId="2AEF03D0" w14:textId="77777777" w:rsidR="00F30224" w:rsidRDefault="00F30224" w:rsidP="00837658">
      <w:pPr>
        <w:spacing w:after="240" w:line="240" w:lineRule="auto"/>
        <w:jc w:val="center"/>
        <w:rPr>
          <w:rFonts w:ascii="Times New Roman" w:eastAsia="Times New Roman" w:hAnsi="Times New Roman"/>
          <w:b/>
          <w:bCs/>
          <w:u w:val="single"/>
          <w:lang w:val="en-GB"/>
        </w:rPr>
      </w:pPr>
    </w:p>
    <w:p w14:paraId="515AD41F" w14:textId="24888DBE" w:rsidR="00075BBE" w:rsidRDefault="00075BBE" w:rsidP="00837658">
      <w:pPr>
        <w:spacing w:after="240" w:line="240" w:lineRule="auto"/>
        <w:jc w:val="center"/>
        <w:rPr>
          <w:rFonts w:ascii="Times New Roman" w:eastAsia="Times New Roman" w:hAnsi="Times New Roman"/>
          <w:b/>
          <w:bCs/>
          <w:u w:val="single"/>
          <w:lang w:val="en-GB"/>
        </w:rPr>
      </w:pPr>
    </w:p>
    <w:p w14:paraId="5D74D8B8" w14:textId="77777777" w:rsidR="00837658" w:rsidRPr="00837658" w:rsidRDefault="00837658" w:rsidP="009C290D">
      <w:pPr>
        <w:rPr>
          <w:lang w:val="en-GB"/>
        </w:rPr>
      </w:pPr>
    </w:p>
    <w:sectPr w:rsidR="00837658" w:rsidRPr="00837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0D"/>
    <w:rsid w:val="00075BBE"/>
    <w:rsid w:val="000F6D81"/>
    <w:rsid w:val="0014681E"/>
    <w:rsid w:val="00161B0E"/>
    <w:rsid w:val="00244D0D"/>
    <w:rsid w:val="00470284"/>
    <w:rsid w:val="005F0A55"/>
    <w:rsid w:val="00624688"/>
    <w:rsid w:val="007C4D5D"/>
    <w:rsid w:val="00837658"/>
    <w:rsid w:val="009C290D"/>
    <w:rsid w:val="00BB7929"/>
    <w:rsid w:val="00C311A2"/>
    <w:rsid w:val="00C80D79"/>
    <w:rsid w:val="00E67D50"/>
    <w:rsid w:val="00E8681C"/>
    <w:rsid w:val="00E939BF"/>
    <w:rsid w:val="00ED4DCA"/>
    <w:rsid w:val="00EE6C0B"/>
    <w:rsid w:val="00F2183D"/>
    <w:rsid w:val="00F30224"/>
    <w:rsid w:val="00F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57"/>
  <w15:chartTrackingRefBased/>
  <w15:docId w15:val="{30343632-58FD-4236-8C5D-1FB08AD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9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4D0D"/>
  </w:style>
  <w:style w:type="character" w:styleId="Hipervnculo">
    <w:name w:val="Hyperlink"/>
    <w:basedOn w:val="Fuentedeprrafopredeter"/>
    <w:uiPriority w:val="99"/>
    <w:semiHidden/>
    <w:unhideWhenUsed/>
    <w:rsid w:val="00244D0D"/>
    <w:rPr>
      <w:color w:val="0000FF"/>
      <w:u w:val="single"/>
    </w:rPr>
  </w:style>
  <w:style w:type="paragraph" w:styleId="Prrafodelista">
    <w:name w:val="List Paragraph"/>
    <w:basedOn w:val="Normal"/>
    <w:qFormat/>
    <w:rsid w:val="00837658"/>
    <w:pPr>
      <w:spacing w:after="200" w:line="276" w:lineRule="auto"/>
      <w:ind w:left="720"/>
      <w:contextualSpacing/>
    </w:pPr>
    <w:rPr>
      <w:rFonts w:ascii="Calibri" w:eastAsia="Calibri" w:hAnsi="Calibri" w:cs="Times New Roman"/>
      <w:lang w:val="en-US"/>
    </w:rPr>
  </w:style>
  <w:style w:type="paragraph" w:styleId="Textoindependiente">
    <w:name w:val="Body Text"/>
    <w:basedOn w:val="Normal"/>
    <w:link w:val="TextoindependienteCar"/>
    <w:uiPriority w:val="99"/>
    <w:rsid w:val="00837658"/>
    <w:pPr>
      <w:spacing w:after="240" w:line="240" w:lineRule="auto"/>
      <w:jc w:val="both"/>
    </w:pPr>
    <w:rPr>
      <w:rFonts w:ascii="Times New Roman" w:eastAsia="Times New Roman" w:hAnsi="Times New Roman" w:cs="Times New Roman"/>
      <w:szCs w:val="24"/>
      <w:lang w:val="en-GB"/>
    </w:rPr>
  </w:style>
  <w:style w:type="character" w:customStyle="1" w:styleId="TextoindependienteCar">
    <w:name w:val="Texto independiente Car"/>
    <w:basedOn w:val="Fuentedeprrafopredeter"/>
    <w:link w:val="Textoindependiente"/>
    <w:uiPriority w:val="99"/>
    <w:rsid w:val="00837658"/>
    <w:rPr>
      <w:rFonts w:ascii="Times New Roman" w:eastAsia="Times New Roman" w:hAnsi="Times New Roman" w:cs="Times New Roman"/>
      <w:szCs w:val="24"/>
      <w:lang w:val="en-GB"/>
    </w:rPr>
  </w:style>
  <w:style w:type="paragraph" w:customStyle="1" w:styleId="BodyA">
    <w:name w:val="Body A"/>
    <w:rsid w:val="0083765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Body">
    <w:name w:val="Body"/>
    <w:rsid w:val="0083765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Roman" w:eastAsia="Arial Unicode MS" w:hAnsi="Arial Unicode MS" w:cs="Arial Unicode MS"/>
      <w:color w:val="000000"/>
      <w:sz w:val="24"/>
      <w:szCs w:val="24"/>
      <w:u w:color="000000"/>
      <w:lang w:val="es-MX" w:eastAsia="es-MX"/>
    </w:rPr>
  </w:style>
  <w:style w:type="paragraph" w:styleId="Textodeglobo">
    <w:name w:val="Balloon Text"/>
    <w:basedOn w:val="Normal"/>
    <w:link w:val="TextodegloboCar"/>
    <w:uiPriority w:val="99"/>
    <w:semiHidden/>
    <w:unhideWhenUsed/>
    <w:rsid w:val="000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BBE"/>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g.aero/assets/docs/2011-Qualifying%20Declarations.pdf"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13787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Pasante1</dc:creator>
  <cp:keywords/>
  <dc:description/>
  <cp:lastModifiedBy>Miguel Ruelas</cp:lastModifiedBy>
  <cp:revision>2</cp:revision>
  <dcterms:created xsi:type="dcterms:W3CDTF">2018-11-16T20:10:00Z</dcterms:created>
  <dcterms:modified xsi:type="dcterms:W3CDTF">2018-11-16T20:10:00Z</dcterms:modified>
</cp:coreProperties>
</file>